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A086" w14:textId="3C71CA5B" w:rsidR="00DF0C3D" w:rsidRPr="00DF0C3D" w:rsidRDefault="00DF0C3D" w:rsidP="00DF0C3D">
      <w:pPr>
        <w:autoSpaceDE w:val="0"/>
        <w:autoSpaceDN w:val="0"/>
        <w:jc w:val="center"/>
        <w:rPr>
          <w:b/>
          <w:bCs/>
          <w:color w:val="auto"/>
          <w:u w:val="single"/>
        </w:rPr>
      </w:pPr>
      <w:r w:rsidRPr="00DF0C3D">
        <w:rPr>
          <w:b/>
          <w:bCs/>
          <w:color w:val="auto"/>
          <w:u w:val="single"/>
        </w:rPr>
        <w:t>Réponse à la demande</w:t>
      </w:r>
      <w:r w:rsidR="00102A39">
        <w:rPr>
          <w:b/>
          <w:bCs/>
          <w:color w:val="auto"/>
          <w:u w:val="single"/>
        </w:rPr>
        <w:t xml:space="preserve"> d’accès</w:t>
      </w:r>
      <w:r w:rsidRPr="00DF0C3D">
        <w:rPr>
          <w:b/>
          <w:bCs/>
          <w:color w:val="auto"/>
          <w:u w:val="single"/>
        </w:rPr>
        <w:t xml:space="preserve"> 23-24-533</w:t>
      </w:r>
    </w:p>
    <w:p w14:paraId="1F0D62FB" w14:textId="77777777" w:rsidR="00DF0C3D" w:rsidRDefault="00DF0C3D" w:rsidP="00797B14">
      <w:pPr>
        <w:autoSpaceDE w:val="0"/>
        <w:autoSpaceDN w:val="0"/>
      </w:pPr>
    </w:p>
    <w:p w14:paraId="2D3C7F4C" w14:textId="2C98B898" w:rsidR="00797B14" w:rsidRPr="00DF0C3D" w:rsidRDefault="00DF0C3D" w:rsidP="00E0671C">
      <w:pPr>
        <w:autoSpaceDE w:val="0"/>
        <w:autoSpaceDN w:val="0"/>
        <w:jc w:val="both"/>
        <w:rPr>
          <w:color w:val="auto"/>
        </w:rPr>
      </w:pPr>
      <w:r w:rsidRPr="00DF0C3D">
        <w:rPr>
          <w:color w:val="auto"/>
        </w:rPr>
        <w:t xml:space="preserve">Vous trouverez ci-dessous les sommes totales pour la grande campagne sur la consommation de </w:t>
      </w:r>
      <w:r w:rsidR="00E0671C">
        <w:rPr>
          <w:color w:val="auto"/>
        </w:rPr>
        <w:t>substances psychoactives</w:t>
      </w:r>
      <w:r w:rsidRPr="00DF0C3D">
        <w:rPr>
          <w:color w:val="auto"/>
        </w:rPr>
        <w:t xml:space="preserve"> et la pratique de </w:t>
      </w:r>
      <w:r w:rsidR="00E0671C">
        <w:rPr>
          <w:color w:val="auto"/>
        </w:rPr>
        <w:t>jeux de hasard et d’argent</w:t>
      </w:r>
      <w:r w:rsidRPr="00DF0C3D">
        <w:rPr>
          <w:color w:val="auto"/>
        </w:rPr>
        <w:t>. Veuillez noter qu’</w:t>
      </w:r>
      <w:r w:rsidR="00797B14" w:rsidRPr="00DF0C3D">
        <w:rPr>
          <w:color w:val="auto"/>
        </w:rPr>
        <w:t xml:space="preserve">il </w:t>
      </w:r>
      <w:r w:rsidRPr="00DF0C3D">
        <w:rPr>
          <w:color w:val="auto"/>
        </w:rPr>
        <w:t>n’est pas possible</w:t>
      </w:r>
      <w:r w:rsidR="00797B14" w:rsidRPr="00DF0C3D">
        <w:rPr>
          <w:color w:val="auto"/>
        </w:rPr>
        <w:t xml:space="preserve"> d’isoler les montants pour les outils de la </w:t>
      </w:r>
      <w:r w:rsidR="00E0671C">
        <w:rPr>
          <w:color w:val="auto"/>
        </w:rPr>
        <w:t xml:space="preserve">« Semaine de prévention des dépendances » </w:t>
      </w:r>
      <w:r w:rsidR="00797B14" w:rsidRPr="00DF0C3D">
        <w:rPr>
          <w:color w:val="auto"/>
        </w:rPr>
        <w:t>seulement</w:t>
      </w:r>
      <w:r w:rsidRPr="00DF0C3D">
        <w:rPr>
          <w:color w:val="auto"/>
        </w:rPr>
        <w:t xml:space="preserve">. </w:t>
      </w:r>
      <w:r w:rsidR="00A2207C">
        <w:rPr>
          <w:color w:val="auto"/>
        </w:rPr>
        <w:t>Également,</w:t>
      </w:r>
      <w:r w:rsidR="00AD04D5">
        <w:rPr>
          <w:color w:val="auto"/>
        </w:rPr>
        <w:t xml:space="preserve"> les données pour </w:t>
      </w:r>
      <w:r w:rsidR="00A2207C">
        <w:rPr>
          <w:color w:val="auto"/>
        </w:rPr>
        <w:t>l’année financière</w:t>
      </w:r>
      <w:r w:rsidR="00AD04D5">
        <w:rPr>
          <w:color w:val="auto"/>
        </w:rPr>
        <w:t xml:space="preserve"> 2023-2024 ne sont pas encore disponibles.</w:t>
      </w:r>
    </w:p>
    <w:p w14:paraId="1F7FC332" w14:textId="77777777" w:rsidR="00DF0C3D" w:rsidRPr="00DF0C3D" w:rsidRDefault="00DF0C3D" w:rsidP="00DF0C3D">
      <w:pPr>
        <w:autoSpaceDE w:val="0"/>
        <w:autoSpaceDN w:val="0"/>
        <w:rPr>
          <w:b/>
          <w:bCs/>
          <w:color w:val="000000"/>
        </w:rPr>
      </w:pPr>
    </w:p>
    <w:p w14:paraId="04EC4DA5" w14:textId="44DAE3A5" w:rsidR="00797B14" w:rsidRPr="00DF0C3D" w:rsidRDefault="00797B14" w:rsidP="00DF0C3D">
      <w:pPr>
        <w:jc w:val="both"/>
        <w:rPr>
          <w:b/>
          <w:bCs/>
          <w:color w:val="000000"/>
        </w:rPr>
      </w:pPr>
      <w:r w:rsidRPr="00DF0C3D">
        <w:rPr>
          <w:b/>
          <w:bCs/>
          <w:color w:val="000000"/>
        </w:rPr>
        <w:t xml:space="preserve">Coûts </w:t>
      </w:r>
      <w:r w:rsidR="00E0671C">
        <w:rPr>
          <w:b/>
          <w:bCs/>
          <w:color w:val="000000"/>
        </w:rPr>
        <w:t xml:space="preserve">de la </w:t>
      </w:r>
      <w:r w:rsidRPr="00DF0C3D">
        <w:rPr>
          <w:b/>
          <w:bCs/>
          <w:color w:val="000000"/>
        </w:rPr>
        <w:t xml:space="preserve">campagne </w:t>
      </w:r>
      <w:r w:rsidR="003B5AAF">
        <w:rPr>
          <w:b/>
          <w:bCs/>
          <w:color w:val="000000"/>
        </w:rPr>
        <w:t>d</w:t>
      </w:r>
      <w:r w:rsidRPr="00DF0C3D">
        <w:rPr>
          <w:b/>
          <w:bCs/>
          <w:color w:val="000000"/>
        </w:rPr>
        <w:t xml:space="preserve">épendances </w:t>
      </w:r>
      <w:r w:rsidR="00E0671C">
        <w:rPr>
          <w:b/>
          <w:bCs/>
          <w:color w:val="000000"/>
        </w:rPr>
        <w:t>20</w:t>
      </w:r>
      <w:r w:rsidRPr="00DF0C3D">
        <w:rPr>
          <w:b/>
          <w:bCs/>
          <w:color w:val="000000"/>
        </w:rPr>
        <w:t>21-</w:t>
      </w:r>
      <w:r w:rsidR="00E0671C">
        <w:rPr>
          <w:b/>
          <w:bCs/>
          <w:color w:val="000000"/>
        </w:rPr>
        <w:t>20</w:t>
      </w:r>
      <w:r w:rsidRPr="00DF0C3D">
        <w:rPr>
          <w:b/>
          <w:bCs/>
          <w:color w:val="000000"/>
        </w:rPr>
        <w:t>22 :</w:t>
      </w:r>
    </w:p>
    <w:p w14:paraId="786B6DE8" w14:textId="77777777" w:rsidR="00797B14" w:rsidRDefault="00797B14" w:rsidP="00DF0C3D">
      <w:pPr>
        <w:jc w:val="both"/>
        <w:rPr>
          <w:color w:val="000000"/>
        </w:rPr>
      </w:pPr>
    </w:p>
    <w:p w14:paraId="4C645B9C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Production : 400 263,41 $</w:t>
      </w:r>
    </w:p>
    <w:p w14:paraId="411B531A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Placement média : 1 897 329,51 $</w:t>
      </w:r>
    </w:p>
    <w:p w14:paraId="504FE7B5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Recherche et évaluation : 46 492,60 $</w:t>
      </w:r>
    </w:p>
    <w:p w14:paraId="2478EDBC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Honoraires firme de publicité : 157 950 $</w:t>
      </w:r>
    </w:p>
    <w:p w14:paraId="4E451D1D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Frais de gestion CAG : 93 449,43 $</w:t>
      </w:r>
    </w:p>
    <w:p w14:paraId="4C7AB6E1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Frais de gestion firme de placement média : 87 201,77 $</w:t>
      </w:r>
    </w:p>
    <w:p w14:paraId="1AC6AB4F" w14:textId="77777777" w:rsidR="00797B14" w:rsidRDefault="00797B14" w:rsidP="00DF0C3D">
      <w:pPr>
        <w:jc w:val="both"/>
        <w:rPr>
          <w:color w:val="000000"/>
        </w:rPr>
      </w:pPr>
    </w:p>
    <w:p w14:paraId="52A6B9CF" w14:textId="77777777" w:rsidR="00797B14" w:rsidRPr="00DF0C3D" w:rsidRDefault="00797B14" w:rsidP="00DF0C3D">
      <w:pPr>
        <w:jc w:val="both"/>
        <w:rPr>
          <w:color w:val="000000"/>
        </w:rPr>
      </w:pPr>
      <w:r w:rsidRPr="00DF0C3D">
        <w:rPr>
          <w:color w:val="000000"/>
        </w:rPr>
        <w:t>TOTAL : 2 682 686,72 $</w:t>
      </w:r>
    </w:p>
    <w:p w14:paraId="6133184F" w14:textId="77777777" w:rsidR="00797B14" w:rsidRDefault="00797B14" w:rsidP="00DF0C3D">
      <w:pPr>
        <w:jc w:val="both"/>
        <w:rPr>
          <w:color w:val="000000"/>
        </w:rPr>
      </w:pPr>
    </w:p>
    <w:p w14:paraId="00386DF0" w14:textId="77777777" w:rsidR="00797B14" w:rsidRDefault="00797B14" w:rsidP="00DF0C3D">
      <w:pPr>
        <w:jc w:val="both"/>
        <w:rPr>
          <w:color w:val="000000"/>
        </w:rPr>
      </w:pPr>
    </w:p>
    <w:p w14:paraId="0FDE3E7F" w14:textId="40E0FE72" w:rsidR="00797B14" w:rsidRPr="00DF0C3D" w:rsidRDefault="00797B14" w:rsidP="00DF0C3D">
      <w:pPr>
        <w:jc w:val="both"/>
        <w:rPr>
          <w:b/>
          <w:bCs/>
          <w:color w:val="000000"/>
        </w:rPr>
      </w:pPr>
      <w:r w:rsidRPr="00DF0C3D">
        <w:rPr>
          <w:b/>
          <w:bCs/>
          <w:color w:val="000000"/>
        </w:rPr>
        <w:t>Coûts</w:t>
      </w:r>
      <w:r w:rsidR="00E0671C">
        <w:rPr>
          <w:b/>
          <w:bCs/>
          <w:color w:val="000000"/>
        </w:rPr>
        <w:t xml:space="preserve"> de la</w:t>
      </w:r>
      <w:r w:rsidRPr="00DF0C3D">
        <w:rPr>
          <w:b/>
          <w:bCs/>
          <w:color w:val="000000"/>
        </w:rPr>
        <w:t xml:space="preserve"> campagne </w:t>
      </w:r>
      <w:r w:rsidR="003B5AAF">
        <w:rPr>
          <w:b/>
          <w:bCs/>
          <w:color w:val="000000"/>
        </w:rPr>
        <w:t xml:space="preserve">de </w:t>
      </w:r>
      <w:r w:rsidRPr="00DF0C3D">
        <w:rPr>
          <w:b/>
          <w:bCs/>
          <w:color w:val="000000"/>
        </w:rPr>
        <w:t xml:space="preserve">dépendances </w:t>
      </w:r>
      <w:r w:rsidR="00E0671C">
        <w:rPr>
          <w:b/>
          <w:bCs/>
          <w:color w:val="000000"/>
        </w:rPr>
        <w:t>20</w:t>
      </w:r>
      <w:r w:rsidRPr="00DF0C3D">
        <w:rPr>
          <w:b/>
          <w:bCs/>
          <w:color w:val="000000"/>
        </w:rPr>
        <w:t>22-</w:t>
      </w:r>
      <w:r w:rsidR="00E0671C">
        <w:rPr>
          <w:b/>
          <w:bCs/>
          <w:color w:val="000000"/>
        </w:rPr>
        <w:t>20</w:t>
      </w:r>
      <w:r w:rsidRPr="00DF0C3D">
        <w:rPr>
          <w:b/>
          <w:bCs/>
          <w:color w:val="000000"/>
        </w:rPr>
        <w:t>23 :</w:t>
      </w:r>
    </w:p>
    <w:p w14:paraId="5C104B5A" w14:textId="77777777" w:rsidR="00797B14" w:rsidRDefault="00797B14" w:rsidP="00DF0C3D">
      <w:pPr>
        <w:jc w:val="both"/>
        <w:rPr>
          <w:color w:val="000000"/>
        </w:rPr>
      </w:pPr>
    </w:p>
    <w:p w14:paraId="7827B342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Production : 115 802,42 $</w:t>
      </w:r>
    </w:p>
    <w:p w14:paraId="2614EF27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Placement média : 515 700,22 $</w:t>
      </w:r>
    </w:p>
    <w:p w14:paraId="0C276E88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Recherche et évaluation : 30 669,02 $</w:t>
      </w:r>
    </w:p>
    <w:p w14:paraId="5FC81632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Honoraires firme de publicité : 180 112,50 $</w:t>
      </w:r>
    </w:p>
    <w:p w14:paraId="1A085E3F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Frais de gestion CAG : 27 174,70 $</w:t>
      </w:r>
    </w:p>
    <w:p w14:paraId="4E1467CF" w14:textId="77777777" w:rsidR="00797B14" w:rsidRDefault="00797B14" w:rsidP="00DF0C3D">
      <w:pPr>
        <w:jc w:val="both"/>
        <w:rPr>
          <w:color w:val="000000"/>
        </w:rPr>
      </w:pPr>
      <w:r>
        <w:rPr>
          <w:color w:val="000000"/>
        </w:rPr>
        <w:t>Frais de gestion firme de placement média : 27 011,11 $</w:t>
      </w:r>
    </w:p>
    <w:p w14:paraId="7FDF50A1" w14:textId="77777777" w:rsidR="00797B14" w:rsidRDefault="00797B14" w:rsidP="00DF0C3D">
      <w:pPr>
        <w:jc w:val="both"/>
        <w:rPr>
          <w:color w:val="000000"/>
        </w:rPr>
      </w:pPr>
    </w:p>
    <w:p w14:paraId="352527ED" w14:textId="77777777" w:rsidR="00797B14" w:rsidRPr="00DF0C3D" w:rsidRDefault="00797B14" w:rsidP="00DF0C3D">
      <w:pPr>
        <w:jc w:val="both"/>
        <w:rPr>
          <w:color w:val="000000"/>
        </w:rPr>
      </w:pPr>
      <w:r w:rsidRPr="00DF0C3D">
        <w:rPr>
          <w:color w:val="000000"/>
        </w:rPr>
        <w:t>TOTAL : 896 469,97 $</w:t>
      </w:r>
    </w:p>
    <w:p w14:paraId="6D797740" w14:textId="77777777" w:rsidR="00797B14" w:rsidRDefault="00797B14" w:rsidP="00797B14">
      <w:pPr>
        <w:rPr>
          <w:color w:val="000000"/>
        </w:rPr>
      </w:pPr>
    </w:p>
    <w:p w14:paraId="67E0CF61" w14:textId="77777777" w:rsidR="00797B14" w:rsidRDefault="00797B14" w:rsidP="00797B14">
      <w:pPr>
        <w:rPr>
          <w:color w:val="000000"/>
        </w:rPr>
      </w:pPr>
    </w:p>
    <w:p w14:paraId="3680A344" w14:textId="27D525D8" w:rsidR="00797B14" w:rsidRPr="00DF0C3D" w:rsidRDefault="00DF0C3D" w:rsidP="00797B14">
      <w:pPr>
        <w:autoSpaceDE w:val="0"/>
        <w:autoSpaceDN w:val="0"/>
        <w:rPr>
          <w:b/>
          <w:bCs/>
          <w:color w:val="auto"/>
          <w:u w:val="single"/>
        </w:rPr>
      </w:pPr>
      <w:r w:rsidRPr="00DF0C3D">
        <w:rPr>
          <w:b/>
          <w:bCs/>
          <w:color w:val="auto"/>
          <w:u w:val="single"/>
        </w:rPr>
        <w:t>V</w:t>
      </w:r>
      <w:r w:rsidR="00797B14" w:rsidRPr="00DF0C3D">
        <w:rPr>
          <w:b/>
          <w:bCs/>
          <w:color w:val="auto"/>
          <w:u w:val="single"/>
        </w:rPr>
        <w:t>oici les liens des outils rendus disponibles :</w:t>
      </w:r>
    </w:p>
    <w:p w14:paraId="0004382E" w14:textId="77777777" w:rsidR="00797B14" w:rsidRPr="00DF0C3D" w:rsidRDefault="00797B14" w:rsidP="00797B14">
      <w:pPr>
        <w:autoSpaceDE w:val="0"/>
        <w:autoSpaceDN w:val="0"/>
        <w:rPr>
          <w:b/>
          <w:bCs/>
          <w:u w:val="single"/>
        </w:rPr>
      </w:pPr>
    </w:p>
    <w:p w14:paraId="3CEBF356" w14:textId="77777777" w:rsidR="00797B14" w:rsidRPr="00DF0C3D" w:rsidRDefault="00797B14" w:rsidP="00797B14">
      <w:pPr>
        <w:autoSpaceDE w:val="0"/>
        <w:autoSpaceDN w:val="0"/>
        <w:rPr>
          <w:color w:val="auto"/>
        </w:rPr>
      </w:pPr>
      <w:r w:rsidRPr="00DF0C3D">
        <w:rPr>
          <w:color w:val="auto"/>
        </w:rPr>
        <w:t>2021-2022</w:t>
      </w:r>
    </w:p>
    <w:p w14:paraId="42E2EDAE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7" w:history="1">
        <w:r w:rsidR="00797B14" w:rsidRPr="00DF0C3D">
          <w:rPr>
            <w:rStyle w:val="Lienhypertexte"/>
            <w:color w:val="auto"/>
          </w:rPr>
          <w:t>Guide d'animation pour les 13-16 ans</w:t>
        </w:r>
      </w:hyperlink>
    </w:p>
    <w:p w14:paraId="16C4FFD5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  <w:lang w:eastAsia="en-US"/>
        </w:rPr>
      </w:pPr>
      <w:hyperlink r:id="rId8" w:history="1">
        <w:r w:rsidR="00797B14" w:rsidRPr="00DF0C3D">
          <w:rPr>
            <w:rStyle w:val="Lienhypertexte"/>
            <w:color w:val="auto"/>
          </w:rPr>
          <w:t>Guide d'animation pour les 13-16 ans (anglais)</w:t>
        </w:r>
      </w:hyperlink>
    </w:p>
    <w:p w14:paraId="1E975D22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9" w:history="1">
        <w:r w:rsidR="00797B14" w:rsidRPr="00DF0C3D">
          <w:rPr>
            <w:rStyle w:val="Lienhypertexte"/>
            <w:color w:val="auto"/>
          </w:rPr>
          <w:t>Quiz vrai ou faux? – Activité pour les 13-16 ans</w:t>
        </w:r>
      </w:hyperlink>
    </w:p>
    <w:p w14:paraId="2FDC9128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0" w:history="1">
        <w:r w:rsidR="00797B14" w:rsidRPr="00DF0C3D">
          <w:rPr>
            <w:rStyle w:val="Lienhypertexte"/>
            <w:color w:val="auto"/>
          </w:rPr>
          <w:t>Quiz vrai ou faux? – Activité pour les 13-16 ans (anglais)</w:t>
        </w:r>
      </w:hyperlink>
    </w:p>
    <w:p w14:paraId="3BB98106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1" w:history="1">
        <w:r w:rsidR="00797B14" w:rsidRPr="00DF0C3D">
          <w:rPr>
            <w:rStyle w:val="Lienhypertexte"/>
            <w:color w:val="auto"/>
          </w:rPr>
          <w:t>Scénario dont tu es le héros – Activité pour les 13-16 ans</w:t>
        </w:r>
      </w:hyperlink>
    </w:p>
    <w:p w14:paraId="5697A6AF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2" w:history="1">
        <w:r w:rsidR="00797B14" w:rsidRPr="00DF0C3D">
          <w:rPr>
            <w:rStyle w:val="Lienhypertexte"/>
            <w:color w:val="auto"/>
          </w:rPr>
          <w:t>Scénario dont tu es le héros – Activité pour les 13-16 ans (anglais)</w:t>
        </w:r>
      </w:hyperlink>
    </w:p>
    <w:p w14:paraId="12E269CF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3" w:history="1">
        <w:r w:rsidR="00797B14" w:rsidRPr="00DF0C3D">
          <w:rPr>
            <w:rStyle w:val="Lienhypertexte"/>
            <w:color w:val="auto"/>
          </w:rPr>
          <w:t>Quiz vrai ou faux? – Activité pour les 17-24 ans</w:t>
        </w:r>
      </w:hyperlink>
    </w:p>
    <w:p w14:paraId="1301E2B3" w14:textId="77777777" w:rsidR="00797B14" w:rsidRPr="00DF0C3D" w:rsidRDefault="00A2207C" w:rsidP="00DF0C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4" w:history="1">
        <w:r w:rsidR="00797B14" w:rsidRPr="00DF0C3D">
          <w:rPr>
            <w:rStyle w:val="Lienhypertexte"/>
            <w:color w:val="auto"/>
          </w:rPr>
          <w:t>Quiz vrai ou faux? – Activité pour les 17-24 ans (anglais)</w:t>
        </w:r>
      </w:hyperlink>
    </w:p>
    <w:p w14:paraId="4A629EDB" w14:textId="77777777" w:rsidR="00797B14" w:rsidRPr="00DF0C3D" w:rsidRDefault="00797B14" w:rsidP="00DF0C3D">
      <w:pPr>
        <w:autoSpaceDE w:val="0"/>
        <w:autoSpaceDN w:val="0"/>
        <w:jc w:val="both"/>
        <w:rPr>
          <w:rFonts w:eastAsia="Calibri"/>
          <w:color w:val="auto"/>
        </w:rPr>
      </w:pPr>
      <w:r w:rsidRPr="00DF0C3D">
        <w:rPr>
          <w:color w:val="auto"/>
        </w:rPr>
        <w:t>2022-2023</w:t>
      </w:r>
    </w:p>
    <w:p w14:paraId="44750961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5" w:history="1">
        <w:r w:rsidR="00797B14" w:rsidRPr="00DF0C3D">
          <w:rPr>
            <w:rStyle w:val="Lienhypertexte"/>
            <w:color w:val="auto"/>
          </w:rPr>
          <w:t>Feuillet explicatif pour les intervenants</w:t>
        </w:r>
      </w:hyperlink>
    </w:p>
    <w:p w14:paraId="58F5B590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  <w:lang w:eastAsia="en-US"/>
        </w:rPr>
      </w:pPr>
      <w:hyperlink r:id="rId16" w:history="1">
        <w:r w:rsidR="00797B14" w:rsidRPr="00DF0C3D">
          <w:rPr>
            <w:rStyle w:val="Lienhypertexte"/>
            <w:color w:val="auto"/>
          </w:rPr>
          <w:t>Feuillet explicatif pour les intervenants (anglais)</w:t>
        </w:r>
      </w:hyperlink>
    </w:p>
    <w:p w14:paraId="654341A8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7" w:history="1">
        <w:r w:rsidR="00797B14" w:rsidRPr="00DF0C3D">
          <w:rPr>
            <w:rStyle w:val="Lienhypertexte"/>
            <w:color w:val="auto"/>
          </w:rPr>
          <w:t>Quiz vrai ou faux? – Activité pour les 13-16 ans</w:t>
        </w:r>
      </w:hyperlink>
    </w:p>
    <w:p w14:paraId="603ABCE5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8" w:history="1">
        <w:r w:rsidR="00797B14" w:rsidRPr="00DF0C3D">
          <w:rPr>
            <w:rStyle w:val="Lienhypertexte"/>
            <w:color w:val="auto"/>
          </w:rPr>
          <w:t>Quiz vrai ou faux? – Activité pour les 13-16 ans (anglais)</w:t>
        </w:r>
      </w:hyperlink>
    </w:p>
    <w:p w14:paraId="486D887D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19" w:history="1">
        <w:r w:rsidR="00797B14" w:rsidRPr="00DF0C3D">
          <w:rPr>
            <w:rStyle w:val="Lienhypertexte"/>
            <w:color w:val="auto"/>
          </w:rPr>
          <w:t>Plan large sur les émotions – Activité pour les 13-16 ans</w:t>
        </w:r>
      </w:hyperlink>
    </w:p>
    <w:p w14:paraId="2D1A0172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20" w:history="1">
        <w:r w:rsidR="00797B14" w:rsidRPr="00DF0C3D">
          <w:rPr>
            <w:rStyle w:val="Lienhypertexte"/>
            <w:color w:val="auto"/>
          </w:rPr>
          <w:t>Plan large sur les émotions – Activité pour les 13-16 ans (anglais)</w:t>
        </w:r>
      </w:hyperlink>
    </w:p>
    <w:p w14:paraId="59B64AAE" w14:textId="77777777" w:rsidR="00797B14" w:rsidRPr="00DF0C3D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hyperlink r:id="rId21" w:history="1">
        <w:r w:rsidR="00797B14" w:rsidRPr="00DF0C3D">
          <w:rPr>
            <w:rStyle w:val="Lienhypertexte"/>
            <w:color w:val="auto"/>
          </w:rPr>
          <w:t>Quiz vrai ou faux? – Activité pour les 17-24 ans</w:t>
        </w:r>
      </w:hyperlink>
    </w:p>
    <w:p w14:paraId="415BCE00" w14:textId="77777777" w:rsidR="00797B14" w:rsidRDefault="00A2207C" w:rsidP="00DF0C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2C3E50"/>
          <w:sz w:val="27"/>
          <w:szCs w:val="27"/>
        </w:rPr>
      </w:pPr>
      <w:hyperlink r:id="rId22" w:history="1">
        <w:r w:rsidR="00797B14" w:rsidRPr="00DF0C3D">
          <w:rPr>
            <w:rStyle w:val="Lienhypertexte"/>
            <w:color w:val="auto"/>
          </w:rPr>
          <w:t>Quiz vrai ou faux? – Activité pour les 17-24 ans (anglais)</w:t>
        </w:r>
      </w:hyperlink>
    </w:p>
    <w:p w14:paraId="7B5FE2DF" w14:textId="77777777" w:rsidR="001C215D" w:rsidRDefault="001C215D" w:rsidP="00DF0C3D">
      <w:pPr>
        <w:jc w:val="both"/>
      </w:pPr>
    </w:p>
    <w:sectPr w:rsidR="001C21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4976" w14:textId="77777777" w:rsidR="003B5AAF" w:rsidRDefault="003B5AAF" w:rsidP="003B5AAF">
      <w:r>
        <w:separator/>
      </w:r>
    </w:p>
  </w:endnote>
  <w:endnote w:type="continuationSeparator" w:id="0">
    <w:p w14:paraId="1C6B54B6" w14:textId="77777777" w:rsidR="003B5AAF" w:rsidRDefault="003B5AAF" w:rsidP="003B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039B" w14:textId="77777777" w:rsidR="003B5AAF" w:rsidRDefault="003B5A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8912" w14:textId="77777777" w:rsidR="003B5AAF" w:rsidRDefault="003B5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7AF5" w14:textId="77777777" w:rsidR="003B5AAF" w:rsidRDefault="003B5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9CB5" w14:textId="77777777" w:rsidR="003B5AAF" w:rsidRDefault="003B5AAF" w:rsidP="003B5AAF">
      <w:r>
        <w:separator/>
      </w:r>
    </w:p>
  </w:footnote>
  <w:footnote w:type="continuationSeparator" w:id="0">
    <w:p w14:paraId="563BCBFE" w14:textId="77777777" w:rsidR="003B5AAF" w:rsidRDefault="003B5AAF" w:rsidP="003B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C5C6" w14:textId="77777777" w:rsidR="003B5AAF" w:rsidRDefault="003B5A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97C" w14:textId="77777777" w:rsidR="003B5AAF" w:rsidRDefault="003B5A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C901" w14:textId="77777777" w:rsidR="003B5AAF" w:rsidRDefault="003B5A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2B2"/>
    <w:multiLevelType w:val="multilevel"/>
    <w:tmpl w:val="A4E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073D5"/>
    <w:multiLevelType w:val="multilevel"/>
    <w:tmpl w:val="0C1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4323924">
    <w:abstractNumId w:val="0"/>
  </w:num>
  <w:num w:numId="2" w16cid:durableId="36833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14"/>
    <w:rsid w:val="00102A39"/>
    <w:rsid w:val="001C215D"/>
    <w:rsid w:val="003B5AAF"/>
    <w:rsid w:val="00797B14"/>
    <w:rsid w:val="00A2207C"/>
    <w:rsid w:val="00AD04D5"/>
    <w:rsid w:val="00DF0C3D"/>
    <w:rsid w:val="00E0671C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48D2"/>
  <w15:chartTrackingRefBased/>
  <w15:docId w15:val="{F7F7C4D4-1CFE-4C7C-A17E-DDDDACB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14"/>
    <w:pPr>
      <w:spacing w:after="0" w:line="240" w:lineRule="auto"/>
    </w:pPr>
    <w:rPr>
      <w:rFonts w:ascii="Times New Roman" w:eastAsia="Times New Roman" w:hAnsi="Times New Roman" w:cs="Times New Roman"/>
      <w:color w:val="000080"/>
      <w:kern w:val="0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7B1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0C3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A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5AAF"/>
    <w:rPr>
      <w:rFonts w:ascii="Times New Roman" w:eastAsia="Times New Roman" w:hAnsi="Times New Roman" w:cs="Times New Roman"/>
      <w:color w:val="000080"/>
      <w:kern w:val="0"/>
      <w:lang w:eastAsia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B5A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AAF"/>
    <w:rPr>
      <w:rFonts w:ascii="Times New Roman" w:eastAsia="Times New Roman" w:hAnsi="Times New Roman" w:cs="Times New Roman"/>
      <w:color w:val="000080"/>
      <w:kern w:val="0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msss.gouv.qc.ca/msss/en/document-003208/" TargetMode="External"/><Relationship Id="rId13" Type="http://schemas.openxmlformats.org/officeDocument/2006/relationships/hyperlink" Target="https://publications.msss.gouv.qc.ca/msss/document-003216" TargetMode="External"/><Relationship Id="rId18" Type="http://schemas.openxmlformats.org/officeDocument/2006/relationships/hyperlink" Target="https://publications.msss.gouv.qc.ca/msss/en/document-003503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publications.msss.gouv.qc.ca/msss/document-003506/" TargetMode="External"/><Relationship Id="rId7" Type="http://schemas.openxmlformats.org/officeDocument/2006/relationships/hyperlink" Target="https://publications.msss.gouv.qc.ca/msss/document-003207/" TargetMode="External"/><Relationship Id="rId12" Type="http://schemas.openxmlformats.org/officeDocument/2006/relationships/hyperlink" Target="https://publications.msss.gouv.qc.ca/msss/en/document-003212/" TargetMode="External"/><Relationship Id="rId17" Type="http://schemas.openxmlformats.org/officeDocument/2006/relationships/hyperlink" Target="https://publications.msss.gouv.qc.ca/msss/document-00350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ublications.msss.gouv.qc.ca/msss/en/document-003501/" TargetMode="External"/><Relationship Id="rId20" Type="http://schemas.openxmlformats.org/officeDocument/2006/relationships/hyperlink" Target="https://publications.msss.gouv.qc.ca/msss/en/document-00350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msss.gouv.qc.ca/msss/document-003211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ublications.msss.gouv.qc.ca/msss/document-003500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ublications.msss.gouv.qc.ca/msss/en/document-003210/" TargetMode="External"/><Relationship Id="rId19" Type="http://schemas.openxmlformats.org/officeDocument/2006/relationships/hyperlink" Target="https://publications.msss.gouv.qc.ca/msss/en/document-0035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msss.gouv.qc.ca/msss/document-003209/" TargetMode="External"/><Relationship Id="rId14" Type="http://schemas.openxmlformats.org/officeDocument/2006/relationships/hyperlink" Target="https://publications.msss.gouv.qc.ca/msss/en/document-003217/" TargetMode="External"/><Relationship Id="rId22" Type="http://schemas.openxmlformats.org/officeDocument/2006/relationships/hyperlink" Target="https://publications.msss.gouv.qc.ca/msss/en/document-003507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Larivière</dc:creator>
  <cp:keywords/>
  <dc:description/>
  <cp:lastModifiedBy>Annie Larivière</cp:lastModifiedBy>
  <cp:revision>6</cp:revision>
  <dcterms:created xsi:type="dcterms:W3CDTF">2024-03-13T14:43:00Z</dcterms:created>
  <dcterms:modified xsi:type="dcterms:W3CDTF">2024-03-14T15:21:00Z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2024-03-13T14:43:58Z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caa92a50-881c-4f79-b164-0af4c4adc6e5</vt:lpwstr>
  </property>
  <property fmtid="{D5CDD505-2E9C-101B-9397-08002B2CF9AE}" pid="8" name="MSIP_Label_6a7d8d5d-78e2-4a62-9fcd-016eb5e4c57c_ContentBits">
    <vt:lpwstr>0</vt:lpwstr>
  </property>
</Properties>
</file>