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auGrille6Couleur-Accentuation4"/>
        <w:tblW w:w="0" w:type="auto"/>
        <w:tblLook w:val="04A0" w:firstRow="1" w:lastRow="0" w:firstColumn="1" w:lastColumn="0" w:noHBand="0" w:noVBand="1"/>
      </w:tblPr>
      <w:tblGrid>
        <w:gridCol w:w="1327"/>
        <w:gridCol w:w="7042"/>
        <w:gridCol w:w="6021"/>
      </w:tblGrid>
      <w:tr w:rsidR="000D50E3" w14:paraId="0AAE86AD" w14:textId="0BC61410" w:rsidTr="000D50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27" w:type="dxa"/>
          </w:tcPr>
          <w:p w14:paraId="61FB1B4B" w14:textId="2D9A43A1" w:rsidR="000D50E3" w:rsidRDefault="000D50E3">
            <w:r>
              <w:t xml:space="preserve">Numéro article du PL </w:t>
            </w:r>
          </w:p>
        </w:tc>
        <w:tc>
          <w:tcPr>
            <w:tcW w:w="7042" w:type="dxa"/>
          </w:tcPr>
          <w:p w14:paraId="208E7B51" w14:textId="0807261E" w:rsidR="000D50E3" w:rsidRDefault="000D50E3" w:rsidP="00C911E2">
            <w:pPr>
              <w:jc w:val="both"/>
              <w:cnfStyle w:val="100000000000" w:firstRow="1" w:lastRow="0" w:firstColumn="0" w:lastColumn="0" w:oddVBand="0" w:evenVBand="0" w:oddHBand="0" w:evenHBand="0" w:firstRowFirstColumn="0" w:firstRowLastColumn="0" w:lastRowFirstColumn="0" w:lastRowLastColumn="0"/>
              <w:rPr>
                <w:b w:val="0"/>
                <w:bCs w:val="0"/>
              </w:rPr>
            </w:pPr>
            <w:r>
              <w:t xml:space="preserve">Règlement intérieur de SQ </w:t>
            </w:r>
          </w:p>
          <w:p w14:paraId="2D00AECD" w14:textId="4BAAA90B" w:rsidR="000D50E3" w:rsidRDefault="000D50E3" w:rsidP="00C911E2">
            <w:pPr>
              <w:jc w:val="both"/>
              <w:cnfStyle w:val="100000000000" w:firstRow="1" w:lastRow="0" w:firstColumn="0" w:lastColumn="0" w:oddVBand="0" w:evenVBand="0" w:oddHBand="0" w:evenHBand="0" w:firstRowFirstColumn="0" w:firstRowLastColumn="0" w:lastRowFirstColumn="0" w:lastRowLastColumn="0"/>
            </w:pPr>
          </w:p>
        </w:tc>
        <w:tc>
          <w:tcPr>
            <w:tcW w:w="6021" w:type="dxa"/>
          </w:tcPr>
          <w:p w14:paraId="7813F55F" w14:textId="77777777" w:rsidR="000D50E3" w:rsidRDefault="001E4902" w:rsidP="00C911E2">
            <w:pPr>
              <w:jc w:val="both"/>
              <w:cnfStyle w:val="100000000000" w:firstRow="1" w:lastRow="0" w:firstColumn="0" w:lastColumn="0" w:oddVBand="0" w:evenVBand="0" w:oddHBand="0" w:evenHBand="0" w:firstRowFirstColumn="0" w:firstRowLastColumn="0" w:lastRowFirstColumn="0" w:lastRowLastColumn="0"/>
              <w:rPr>
                <w:b w:val="0"/>
                <w:bCs w:val="0"/>
              </w:rPr>
            </w:pPr>
            <w:r>
              <w:t>Règlement intérieur d’un établissement</w:t>
            </w:r>
          </w:p>
          <w:p w14:paraId="4A59ABA4" w14:textId="77777777" w:rsidR="001E4902" w:rsidRDefault="001E4902" w:rsidP="00C911E2">
            <w:pPr>
              <w:jc w:val="both"/>
              <w:cnfStyle w:val="100000000000" w:firstRow="1" w:lastRow="0" w:firstColumn="0" w:lastColumn="0" w:oddVBand="0" w:evenVBand="0" w:oddHBand="0" w:evenHBand="0" w:firstRowFirstColumn="0" w:firstRowLastColumn="0" w:lastRowFirstColumn="0" w:lastRowLastColumn="0"/>
              <w:rPr>
                <w:b w:val="0"/>
                <w:bCs w:val="0"/>
              </w:rPr>
            </w:pPr>
          </w:p>
          <w:p w14:paraId="3E7ACF20" w14:textId="4AC7A73E" w:rsidR="001E4902" w:rsidRDefault="001E4902" w:rsidP="00C911E2">
            <w:pPr>
              <w:jc w:val="both"/>
              <w:cnfStyle w:val="100000000000" w:firstRow="1" w:lastRow="0" w:firstColumn="0" w:lastColumn="0" w:oddVBand="0" w:evenVBand="0" w:oddHBand="0" w:evenHBand="0" w:firstRowFirstColumn="0" w:firstRowLastColumn="0" w:lastRowFirstColumn="0" w:lastRowLastColumn="0"/>
              <w:rPr>
                <w:b w:val="0"/>
                <w:bCs w:val="0"/>
              </w:rPr>
            </w:pPr>
            <w:r>
              <w:t xml:space="preserve">*Rappel, le premier alinéa de l’article 42.1 du projet de loi prévoit que le règlement intérieur de Santé Québec peut comprendre les dispositions qui peuvent être prévues par le règlement intérieur d’un établissement. </w:t>
            </w:r>
          </w:p>
          <w:p w14:paraId="48FC708B" w14:textId="6867C565" w:rsidR="001E4902" w:rsidRDefault="001E4902" w:rsidP="00C911E2">
            <w:pPr>
              <w:jc w:val="both"/>
              <w:cnfStyle w:val="100000000000" w:firstRow="1" w:lastRow="0" w:firstColumn="0" w:lastColumn="0" w:oddVBand="0" w:evenVBand="0" w:oddHBand="0" w:evenHBand="0" w:firstRowFirstColumn="0" w:firstRowLastColumn="0" w:lastRowFirstColumn="0" w:lastRowLastColumn="0"/>
            </w:pPr>
          </w:p>
        </w:tc>
      </w:tr>
      <w:tr w:rsidR="000D50E3" w14:paraId="44FEAC03" w14:textId="17767052"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64716447" w14:textId="02624E85" w:rsidR="000D50E3" w:rsidRDefault="000D50E3">
            <w:r>
              <w:t>32</w:t>
            </w:r>
          </w:p>
        </w:tc>
        <w:tc>
          <w:tcPr>
            <w:tcW w:w="7042" w:type="dxa"/>
          </w:tcPr>
          <w:p w14:paraId="4143F12B" w14:textId="036B6559"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roofErr w:type="gramStart"/>
            <w:r>
              <w:t>Vacance</w:t>
            </w:r>
            <w:proofErr w:type="gramEnd"/>
            <w:r>
              <w:t xml:space="preserve"> d’un membre du CA – déterminé par règlement intérieur de SQ.</w:t>
            </w:r>
          </w:p>
          <w:p w14:paraId="0A5566C9" w14:textId="3E5440BA"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35BFBBE0"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r>
      <w:tr w:rsidR="000D50E3" w14:paraId="22E815E0" w14:textId="17976229" w:rsidTr="000D50E3">
        <w:tc>
          <w:tcPr>
            <w:cnfStyle w:val="001000000000" w:firstRow="0" w:lastRow="0" w:firstColumn="1" w:lastColumn="0" w:oddVBand="0" w:evenVBand="0" w:oddHBand="0" w:evenHBand="0" w:firstRowFirstColumn="0" w:firstRowLastColumn="0" w:lastRowFirstColumn="0" w:lastRowLastColumn="0"/>
            <w:tcW w:w="1327" w:type="dxa"/>
          </w:tcPr>
          <w:p w14:paraId="7919D06B" w14:textId="42576549" w:rsidR="000D50E3" w:rsidRDefault="000D50E3">
            <w:r>
              <w:t>35</w:t>
            </w:r>
          </w:p>
        </w:tc>
        <w:tc>
          <w:tcPr>
            <w:tcW w:w="7042" w:type="dxa"/>
          </w:tcPr>
          <w:p w14:paraId="46E03781" w14:textId="77777777"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r>
              <w:t>Sauf disposition contraire du règlement intérieur de SQ - Participation à distance à un CA.</w:t>
            </w:r>
          </w:p>
          <w:p w14:paraId="66A72C57" w14:textId="22AFA1D5"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259D73F2" w14:textId="77777777"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p>
        </w:tc>
      </w:tr>
      <w:tr w:rsidR="000D50E3" w14:paraId="0D21D9B5" w14:textId="2475D578"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3C9C046C" w14:textId="2841418E" w:rsidR="000D50E3" w:rsidRDefault="000D50E3">
            <w:r>
              <w:t>36</w:t>
            </w:r>
          </w:p>
        </w:tc>
        <w:tc>
          <w:tcPr>
            <w:tcW w:w="7042" w:type="dxa"/>
          </w:tcPr>
          <w:p w14:paraId="48D179B3"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r>
              <w:t>Déterminer qui peut signer un document pour qu’il soit authentique – règlement intérieur de SQ.</w:t>
            </w:r>
          </w:p>
          <w:p w14:paraId="3D18DB96" w14:textId="733EBC7A"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578B2C2B"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r>
      <w:tr w:rsidR="000D50E3" w14:paraId="581C62EB" w14:textId="112A43B8" w:rsidTr="000D50E3">
        <w:tc>
          <w:tcPr>
            <w:cnfStyle w:val="001000000000" w:firstRow="0" w:lastRow="0" w:firstColumn="1" w:lastColumn="0" w:oddVBand="0" w:evenVBand="0" w:oddHBand="0" w:evenHBand="0" w:firstRowFirstColumn="0" w:firstRowLastColumn="0" w:lastRowFirstColumn="0" w:lastRowLastColumn="0"/>
            <w:tcW w:w="1327" w:type="dxa"/>
          </w:tcPr>
          <w:p w14:paraId="764914A7" w14:textId="77777777" w:rsidR="000D50E3" w:rsidRDefault="000D50E3">
            <w:pPr>
              <w:rPr>
                <w:b w:val="0"/>
                <w:bCs w:val="0"/>
              </w:rPr>
            </w:pPr>
            <w:r>
              <w:t>41</w:t>
            </w:r>
          </w:p>
          <w:p w14:paraId="66A9A6BB" w14:textId="79234A01" w:rsidR="000D50E3" w:rsidRDefault="000D50E3">
            <w:r>
              <w:t>(voir aussi l’article 1091)</w:t>
            </w:r>
          </w:p>
        </w:tc>
        <w:tc>
          <w:tcPr>
            <w:tcW w:w="7042" w:type="dxa"/>
          </w:tcPr>
          <w:p w14:paraId="024E1386" w14:textId="77777777"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r>
              <w:t>Règlement intérieur de Santé Québec - Classe et types des établissements publics.</w:t>
            </w:r>
          </w:p>
          <w:p w14:paraId="0D9658B3" w14:textId="748DE318"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1D749202" w14:textId="77777777"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p>
        </w:tc>
      </w:tr>
      <w:tr w:rsidR="000D50E3" w14:paraId="27AAA068" w14:textId="1C1217FE"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33A7C59A" w14:textId="14555A01" w:rsidR="000D50E3" w:rsidRDefault="000D50E3" w:rsidP="001A721B">
            <w:r>
              <w:t>44</w:t>
            </w:r>
          </w:p>
        </w:tc>
        <w:tc>
          <w:tcPr>
            <w:tcW w:w="7042" w:type="dxa"/>
          </w:tcPr>
          <w:p w14:paraId="1A3D75D4"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r>
              <w:t>Règlement intérieur de SQ peut prévoir la subdélégation.</w:t>
            </w:r>
          </w:p>
          <w:p w14:paraId="2C6CB59E" w14:textId="712B03CB"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7D2F26C3"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r>
      <w:tr w:rsidR="000D50E3" w14:paraId="2FB46F64" w14:textId="14EF0F96" w:rsidTr="000D50E3">
        <w:tc>
          <w:tcPr>
            <w:cnfStyle w:val="001000000000" w:firstRow="0" w:lastRow="0" w:firstColumn="1" w:lastColumn="0" w:oddVBand="0" w:evenVBand="0" w:oddHBand="0" w:evenHBand="0" w:firstRowFirstColumn="0" w:firstRowLastColumn="0" w:lastRowFirstColumn="0" w:lastRowLastColumn="0"/>
            <w:tcW w:w="1327" w:type="dxa"/>
          </w:tcPr>
          <w:p w14:paraId="36531D1C" w14:textId="39165319" w:rsidR="000D50E3" w:rsidRDefault="000D50E3" w:rsidP="001A721B">
            <w:r>
              <w:t>45</w:t>
            </w:r>
          </w:p>
        </w:tc>
        <w:tc>
          <w:tcPr>
            <w:tcW w:w="7042" w:type="dxa"/>
          </w:tcPr>
          <w:p w14:paraId="5B95B0E8" w14:textId="77777777"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r>
              <w:t>CA de SQ prend le règlement intérieur.</w:t>
            </w:r>
          </w:p>
          <w:p w14:paraId="1A88AFF5" w14:textId="5C34405A"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3235B400" w14:textId="77777777" w:rsidR="000D50E3" w:rsidRDefault="000D50E3" w:rsidP="00C911E2">
            <w:pPr>
              <w:jc w:val="both"/>
              <w:cnfStyle w:val="000000000000" w:firstRow="0" w:lastRow="0" w:firstColumn="0" w:lastColumn="0" w:oddVBand="0" w:evenVBand="0" w:oddHBand="0" w:evenHBand="0" w:firstRowFirstColumn="0" w:firstRowLastColumn="0" w:lastRowFirstColumn="0" w:lastRowLastColumn="0"/>
            </w:pPr>
          </w:p>
        </w:tc>
      </w:tr>
      <w:tr w:rsidR="000D50E3" w14:paraId="0D07F36D" w14:textId="32907C4B"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5F4DF96D" w14:textId="2D347C71" w:rsidR="000D50E3" w:rsidRDefault="000D50E3" w:rsidP="001A721B">
            <w:r>
              <w:t>72</w:t>
            </w:r>
          </w:p>
        </w:tc>
        <w:tc>
          <w:tcPr>
            <w:tcW w:w="7042" w:type="dxa"/>
          </w:tcPr>
          <w:p w14:paraId="79CF715D" w14:textId="5893D7FF"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r>
              <w:t xml:space="preserve">Règles relatives à la divulgation à un usager, au représentant d’un usager mineur, majeur inapte, etc., toute information nécessaire lors d’un accident. </w:t>
            </w:r>
          </w:p>
          <w:p w14:paraId="28F4D1ED" w14:textId="7A275BEF"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p w14:paraId="1ED00F7D" w14:textId="489F7914"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6BFD20E9"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r>
      <w:tr w:rsidR="00D25031" w14:paraId="6B94BFE1"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3D64166D" w14:textId="05170256" w:rsidR="00D25031" w:rsidRDefault="00D25031" w:rsidP="001A721B">
            <w:r>
              <w:t>107.1</w:t>
            </w:r>
          </w:p>
        </w:tc>
        <w:tc>
          <w:tcPr>
            <w:tcW w:w="7042" w:type="dxa"/>
          </w:tcPr>
          <w:p w14:paraId="43BD39BA" w14:textId="26627C56" w:rsidR="00D25031" w:rsidRDefault="00D25031" w:rsidP="00C911E2">
            <w:pPr>
              <w:jc w:val="both"/>
              <w:cnfStyle w:val="000000000000" w:firstRow="0" w:lastRow="0" w:firstColumn="0" w:lastColumn="0" w:oddVBand="0" w:evenVBand="0" w:oddHBand="0" w:evenHBand="0" w:firstRowFirstColumn="0" w:firstRowLastColumn="0" w:lastRowFirstColumn="0" w:lastRowLastColumn="0"/>
            </w:pPr>
            <w:r>
              <w:t>Prévoir les autres modalités et conditions selon lesquelles sont établies les listes de candidats pour le choix des membres du conseil d’établissement</w:t>
            </w:r>
          </w:p>
        </w:tc>
        <w:tc>
          <w:tcPr>
            <w:tcW w:w="6021" w:type="dxa"/>
          </w:tcPr>
          <w:p w14:paraId="4D5C5E26" w14:textId="77777777" w:rsidR="00D25031" w:rsidRDefault="00D25031" w:rsidP="00C911E2">
            <w:pPr>
              <w:jc w:val="both"/>
              <w:cnfStyle w:val="000000000000" w:firstRow="0" w:lastRow="0" w:firstColumn="0" w:lastColumn="0" w:oddVBand="0" w:evenVBand="0" w:oddHBand="0" w:evenHBand="0" w:firstRowFirstColumn="0" w:firstRowLastColumn="0" w:lastRowFirstColumn="0" w:lastRowLastColumn="0"/>
            </w:pPr>
          </w:p>
        </w:tc>
      </w:tr>
      <w:tr w:rsidR="000D50E3" w14:paraId="3963CA14" w14:textId="68E4786A"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2E66A7DE" w14:textId="249B76BA" w:rsidR="000D50E3" w:rsidRDefault="000D50E3" w:rsidP="001A721B">
            <w:r>
              <w:t>116</w:t>
            </w:r>
          </w:p>
        </w:tc>
        <w:tc>
          <w:tcPr>
            <w:tcW w:w="7042" w:type="dxa"/>
          </w:tcPr>
          <w:p w14:paraId="4CFA6F73" w14:textId="7F60677E" w:rsidR="000D50E3" w:rsidRDefault="000D50E3" w:rsidP="0062418D">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0E84F8BE" w14:textId="77777777" w:rsidR="0062418D" w:rsidRDefault="0062418D" w:rsidP="0062418D">
            <w:pPr>
              <w:jc w:val="both"/>
              <w:cnfStyle w:val="000000100000" w:firstRow="0" w:lastRow="0" w:firstColumn="0" w:lastColumn="0" w:oddVBand="0" w:evenVBand="0" w:oddHBand="1" w:evenHBand="0" w:firstRowFirstColumn="0" w:firstRowLastColumn="0" w:lastRowFirstColumn="0" w:lastRowLastColumn="0"/>
            </w:pPr>
            <w:r>
              <w:t xml:space="preserve">Règles de fonctionnement du conseil d’établissement </w:t>
            </w:r>
          </w:p>
          <w:p w14:paraId="1FEC5865"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r>
      <w:tr w:rsidR="00D25031" w14:paraId="4C850AD8"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0ADA066A" w14:textId="68A971C7" w:rsidR="00D25031" w:rsidRDefault="00D25031" w:rsidP="001A721B">
            <w:r>
              <w:t>131</w:t>
            </w:r>
          </w:p>
        </w:tc>
        <w:tc>
          <w:tcPr>
            <w:tcW w:w="7042" w:type="dxa"/>
          </w:tcPr>
          <w:p w14:paraId="6934CA34" w14:textId="564099C7" w:rsidR="00D25031" w:rsidRDefault="00D25031" w:rsidP="00C911E2">
            <w:pPr>
              <w:jc w:val="both"/>
              <w:cnfStyle w:val="000000000000" w:firstRow="0" w:lastRow="0" w:firstColumn="0" w:lastColumn="0" w:oddVBand="0" w:evenVBand="0" w:oddHBand="0" w:evenHBand="0" w:firstRowFirstColumn="0" w:firstRowLastColumn="0" w:lastRowFirstColumn="0" w:lastRowLastColumn="0"/>
            </w:pPr>
            <w:r>
              <w:t>Peut prévoir des règles quant à la nomination des membres du personnel</w:t>
            </w:r>
          </w:p>
        </w:tc>
        <w:tc>
          <w:tcPr>
            <w:tcW w:w="6021" w:type="dxa"/>
          </w:tcPr>
          <w:p w14:paraId="293E0CFD" w14:textId="77777777" w:rsidR="00D25031" w:rsidRDefault="00D25031" w:rsidP="00C911E2">
            <w:pPr>
              <w:jc w:val="both"/>
              <w:cnfStyle w:val="000000000000" w:firstRow="0" w:lastRow="0" w:firstColumn="0" w:lastColumn="0" w:oddVBand="0" w:evenVBand="0" w:oddHBand="0" w:evenHBand="0" w:firstRowFirstColumn="0" w:firstRowLastColumn="0" w:lastRowFirstColumn="0" w:lastRowLastColumn="0"/>
            </w:pPr>
          </w:p>
        </w:tc>
      </w:tr>
      <w:tr w:rsidR="000D50E3" w14:paraId="00FBA493" w14:textId="4907E505"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45762E81" w14:textId="245FD9C8" w:rsidR="000D50E3" w:rsidRDefault="000D50E3" w:rsidP="001A721B">
            <w:r>
              <w:t>138</w:t>
            </w:r>
          </w:p>
        </w:tc>
        <w:tc>
          <w:tcPr>
            <w:tcW w:w="7042" w:type="dxa"/>
          </w:tcPr>
          <w:p w14:paraId="55E668E7" w14:textId="5097CB52"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r>
              <w:t xml:space="preserve">Nombre de membres et règles de fonctionnement du comité de gestion des risques </w:t>
            </w:r>
          </w:p>
          <w:p w14:paraId="0308A067" w14:textId="0B6FAA56"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4EE9D1D9" w14:textId="77777777" w:rsidR="000D50E3" w:rsidRDefault="000D50E3" w:rsidP="00C911E2">
            <w:pPr>
              <w:jc w:val="both"/>
              <w:cnfStyle w:val="000000100000" w:firstRow="0" w:lastRow="0" w:firstColumn="0" w:lastColumn="0" w:oddVBand="0" w:evenVBand="0" w:oddHBand="1" w:evenHBand="0" w:firstRowFirstColumn="0" w:firstRowLastColumn="0" w:lastRowFirstColumn="0" w:lastRowLastColumn="0"/>
            </w:pPr>
          </w:p>
        </w:tc>
      </w:tr>
      <w:tr w:rsidR="008452CA" w14:paraId="5797AA12"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065080F2" w14:textId="3EF9B76E" w:rsidR="008452CA" w:rsidRDefault="008452CA" w:rsidP="008452CA">
            <w:r>
              <w:t>606</w:t>
            </w:r>
          </w:p>
        </w:tc>
        <w:tc>
          <w:tcPr>
            <w:tcW w:w="7042" w:type="dxa"/>
          </w:tcPr>
          <w:p w14:paraId="596F69E7" w14:textId="0CFEDA18"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r>
              <w:t>Procédure d’examen des plaintes</w:t>
            </w:r>
          </w:p>
        </w:tc>
        <w:tc>
          <w:tcPr>
            <w:tcW w:w="6021" w:type="dxa"/>
          </w:tcPr>
          <w:p w14:paraId="223EA048" w14:textId="7777777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p>
        </w:tc>
      </w:tr>
      <w:tr w:rsidR="008452CA" w14:paraId="7905E123" w14:textId="77777777"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16F506C7" w14:textId="746C5646" w:rsidR="008452CA" w:rsidRPr="00D25031" w:rsidRDefault="008452CA" w:rsidP="008452CA">
            <w:pPr>
              <w:rPr>
                <w:color w:val="auto"/>
              </w:rPr>
            </w:pPr>
            <w:r w:rsidRPr="00443DD2">
              <w:rPr>
                <w:color w:val="7030A0"/>
              </w:rPr>
              <w:t>154</w:t>
            </w:r>
          </w:p>
        </w:tc>
        <w:tc>
          <w:tcPr>
            <w:tcW w:w="7042" w:type="dxa"/>
          </w:tcPr>
          <w:p w14:paraId="5111CCB8" w14:textId="77777777" w:rsidR="008452CA" w:rsidRPr="00D25031" w:rsidRDefault="008452CA" w:rsidP="008452CA">
            <w:pPr>
              <w:jc w:val="both"/>
              <w:cnfStyle w:val="000000100000" w:firstRow="0" w:lastRow="0" w:firstColumn="0" w:lastColumn="0" w:oddVBand="0" w:evenVBand="0" w:oddHBand="1" w:evenHBand="0" w:firstRowFirstColumn="0" w:firstRowLastColumn="0" w:lastRowFirstColumn="0" w:lastRowLastColumn="0"/>
              <w:rPr>
                <w:color w:val="auto"/>
              </w:rPr>
            </w:pPr>
          </w:p>
        </w:tc>
        <w:tc>
          <w:tcPr>
            <w:tcW w:w="6021" w:type="dxa"/>
          </w:tcPr>
          <w:p w14:paraId="32E7932D" w14:textId="58082EAA"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r>
              <w:t>Le nombre de chacune des catégories de professionnels composant le CIETOC</w:t>
            </w:r>
          </w:p>
        </w:tc>
      </w:tr>
      <w:tr w:rsidR="008452CA" w14:paraId="2411BB85"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6B166D22" w14:textId="296BC0B0" w:rsidR="008452CA" w:rsidRDefault="008452CA" w:rsidP="008452CA">
            <w:r>
              <w:lastRenderedPageBreak/>
              <w:t>167 et 168</w:t>
            </w:r>
          </w:p>
        </w:tc>
        <w:tc>
          <w:tcPr>
            <w:tcW w:w="7042" w:type="dxa"/>
          </w:tcPr>
          <w:p w14:paraId="5665B41A" w14:textId="77777777" w:rsidR="008452CA" w:rsidRPr="00D25031" w:rsidRDefault="008452CA" w:rsidP="008452CA">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16BB21F0" w14:textId="132F5E8D"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r>
              <w:t>Possibilité de prévoir des dispositions portant sur les responsabilités du CMDPSF</w:t>
            </w:r>
          </w:p>
        </w:tc>
      </w:tr>
      <w:tr w:rsidR="008452CA" w14:paraId="5F1E43AB" w14:textId="77777777"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64DEB9AF" w14:textId="7EE7C0AD" w:rsidR="008452CA" w:rsidRDefault="008452CA" w:rsidP="008452CA">
            <w:r>
              <w:t>183</w:t>
            </w:r>
          </w:p>
        </w:tc>
        <w:tc>
          <w:tcPr>
            <w:tcW w:w="7042" w:type="dxa"/>
          </w:tcPr>
          <w:p w14:paraId="4F86524E" w14:textId="77777777" w:rsidR="008452CA" w:rsidRPr="00D25031" w:rsidRDefault="008452CA" w:rsidP="008452CA">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6F104B1B" w14:textId="2A8F7D33"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r>
              <w:t>Possibilité de prévoir des dispositions portant sur les responsabilités du chef de département</w:t>
            </w:r>
          </w:p>
        </w:tc>
      </w:tr>
      <w:tr w:rsidR="008452CA" w14:paraId="349B1A68"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3682EB8D" w14:textId="702A1B83" w:rsidR="008452CA" w:rsidRDefault="008452CA" w:rsidP="008452CA">
            <w:r>
              <w:t>222</w:t>
            </w:r>
          </w:p>
        </w:tc>
        <w:tc>
          <w:tcPr>
            <w:tcW w:w="7042" w:type="dxa"/>
          </w:tcPr>
          <w:p w14:paraId="57935D82" w14:textId="7777777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4B772389" w14:textId="2C0A13BB"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r>
              <w:t>Procédure de plainte envers médecins, dentistes, pharmaciens et sages-femmes</w:t>
            </w:r>
          </w:p>
        </w:tc>
      </w:tr>
      <w:tr w:rsidR="008452CA" w14:paraId="3C8A1623" w14:textId="77777777"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4681E359" w14:textId="2796D73D" w:rsidR="008452CA" w:rsidRDefault="008452CA" w:rsidP="008452CA">
            <w:r>
              <w:t>224</w:t>
            </w:r>
          </w:p>
        </w:tc>
        <w:tc>
          <w:tcPr>
            <w:tcW w:w="7042" w:type="dxa"/>
          </w:tcPr>
          <w:p w14:paraId="7FFBA60B" w14:textId="77777777"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741DF698" w14:textId="5F6015D0"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r>
              <w:t>Imposition de sanction administrative</w:t>
            </w:r>
          </w:p>
        </w:tc>
      </w:tr>
      <w:tr w:rsidR="008452CA" w14:paraId="5E791B45"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027EC8B0" w14:textId="05857414" w:rsidR="008452CA" w:rsidRDefault="008452CA" w:rsidP="008452CA">
            <w:r>
              <w:t>253</w:t>
            </w:r>
          </w:p>
        </w:tc>
        <w:tc>
          <w:tcPr>
            <w:tcW w:w="7042" w:type="dxa"/>
          </w:tcPr>
          <w:p w14:paraId="54E5AFA6" w14:textId="7777777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0A90577D" w14:textId="5CF353AE"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r>
              <w:t>Possibilité de prévoir des dispositions portant sur les responsabilités du directeur des soins infirmiers</w:t>
            </w:r>
          </w:p>
        </w:tc>
      </w:tr>
      <w:tr w:rsidR="008452CA" w14:paraId="68B10FAD" w14:textId="77777777"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1C112AB2" w14:textId="1C24C30B" w:rsidR="008452CA" w:rsidRDefault="008452CA" w:rsidP="008452CA">
            <w:r>
              <w:t>255-256</w:t>
            </w:r>
          </w:p>
        </w:tc>
        <w:tc>
          <w:tcPr>
            <w:tcW w:w="7042" w:type="dxa"/>
          </w:tcPr>
          <w:p w14:paraId="599FAF7A" w14:textId="77777777"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5E1BB9BA" w14:textId="52C748BB"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r>
              <w:t>Possibilité de prévoir des dispositions portant sur les responsabilités du conseil des infirmières et infirmiers</w:t>
            </w:r>
          </w:p>
        </w:tc>
      </w:tr>
      <w:tr w:rsidR="008452CA" w14:paraId="1D623393"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715FC980" w14:textId="6E752951" w:rsidR="008452CA" w:rsidRDefault="008452CA" w:rsidP="008452CA">
            <w:r>
              <w:t>265</w:t>
            </w:r>
          </w:p>
        </w:tc>
        <w:tc>
          <w:tcPr>
            <w:tcW w:w="7042" w:type="dxa"/>
          </w:tcPr>
          <w:p w14:paraId="02C22C83" w14:textId="7777777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6E325E8D" w14:textId="6E07CEFA"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r>
              <w:t>Possibilité de prévoir des dispositions portant sur les responsabilités du directeur multidisciplinaire des services de santé</w:t>
            </w:r>
          </w:p>
        </w:tc>
      </w:tr>
      <w:tr w:rsidR="008452CA" w14:paraId="6D54EE52" w14:textId="77777777"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49711F6B" w14:textId="7E5C9275" w:rsidR="008452CA" w:rsidRDefault="008452CA" w:rsidP="008452CA">
            <w:r>
              <w:t>267-268</w:t>
            </w:r>
          </w:p>
        </w:tc>
        <w:tc>
          <w:tcPr>
            <w:tcW w:w="7042" w:type="dxa"/>
          </w:tcPr>
          <w:p w14:paraId="13CF2A22" w14:textId="77777777"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0D90212A" w14:textId="0C989D7B"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r>
              <w:t>Possibilité de prévoir des dispositions portant sur les responsabilités du conseil multidisciplinaire des services de santé</w:t>
            </w:r>
          </w:p>
        </w:tc>
      </w:tr>
      <w:tr w:rsidR="008452CA" w14:paraId="6AC796AD"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441DEA1D" w14:textId="51159A01" w:rsidR="008452CA" w:rsidRDefault="008452CA" w:rsidP="008452CA">
            <w:r>
              <w:t>274</w:t>
            </w:r>
          </w:p>
        </w:tc>
        <w:tc>
          <w:tcPr>
            <w:tcW w:w="7042" w:type="dxa"/>
          </w:tcPr>
          <w:p w14:paraId="4AAB41C9" w14:textId="7777777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2707A166" w14:textId="27668A5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r>
              <w:t>Possibilité de prévoir des dispositions portant sur les responsabilités du directeur du personnel multidisciplinaire des services sociaux</w:t>
            </w:r>
          </w:p>
        </w:tc>
      </w:tr>
      <w:tr w:rsidR="008452CA" w14:paraId="5ED31048" w14:textId="77777777" w:rsidTr="000D5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14:paraId="66C855B3" w14:textId="362F0587" w:rsidR="008452CA" w:rsidRDefault="008452CA" w:rsidP="008452CA">
            <w:r>
              <w:t>276-277</w:t>
            </w:r>
          </w:p>
        </w:tc>
        <w:tc>
          <w:tcPr>
            <w:tcW w:w="7042" w:type="dxa"/>
          </w:tcPr>
          <w:p w14:paraId="2E8CA518" w14:textId="77777777"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p>
        </w:tc>
        <w:tc>
          <w:tcPr>
            <w:tcW w:w="6021" w:type="dxa"/>
          </w:tcPr>
          <w:p w14:paraId="64A6673A" w14:textId="3BE01A20" w:rsidR="008452CA" w:rsidRDefault="008452CA" w:rsidP="008452CA">
            <w:pPr>
              <w:jc w:val="both"/>
              <w:cnfStyle w:val="000000100000" w:firstRow="0" w:lastRow="0" w:firstColumn="0" w:lastColumn="0" w:oddVBand="0" w:evenVBand="0" w:oddHBand="1" w:evenHBand="0" w:firstRowFirstColumn="0" w:firstRowLastColumn="0" w:lastRowFirstColumn="0" w:lastRowLastColumn="0"/>
            </w:pPr>
            <w:r>
              <w:t>Possibilité de prévoir des dispositions portant sur les responsabilités du conseil multidisciplinaire des services sociaux</w:t>
            </w:r>
          </w:p>
        </w:tc>
      </w:tr>
      <w:tr w:rsidR="008452CA" w14:paraId="1139264C" w14:textId="77777777" w:rsidTr="000D50E3">
        <w:tc>
          <w:tcPr>
            <w:cnfStyle w:val="001000000000" w:firstRow="0" w:lastRow="0" w:firstColumn="1" w:lastColumn="0" w:oddVBand="0" w:evenVBand="0" w:oddHBand="0" w:evenHBand="0" w:firstRowFirstColumn="0" w:firstRowLastColumn="0" w:lastRowFirstColumn="0" w:lastRowLastColumn="0"/>
            <w:tcW w:w="1327" w:type="dxa"/>
          </w:tcPr>
          <w:p w14:paraId="0624B36B" w14:textId="1E300D66" w:rsidR="008452CA" w:rsidRDefault="008452CA" w:rsidP="008452CA">
            <w:pPr>
              <w:tabs>
                <w:tab w:val="left" w:pos="1000"/>
              </w:tabs>
            </w:pPr>
            <w:r>
              <w:t>394.1</w:t>
            </w:r>
            <w:r>
              <w:tab/>
            </w:r>
          </w:p>
        </w:tc>
        <w:tc>
          <w:tcPr>
            <w:tcW w:w="7042" w:type="dxa"/>
          </w:tcPr>
          <w:p w14:paraId="4903B496" w14:textId="7777777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p>
        </w:tc>
        <w:tc>
          <w:tcPr>
            <w:tcW w:w="6021" w:type="dxa"/>
          </w:tcPr>
          <w:p w14:paraId="2E33B87C" w14:textId="7D180977" w:rsidR="008452CA" w:rsidRDefault="008452CA" w:rsidP="008452CA">
            <w:pPr>
              <w:jc w:val="both"/>
              <w:cnfStyle w:val="000000000000" w:firstRow="0" w:lastRow="0" w:firstColumn="0" w:lastColumn="0" w:oddVBand="0" w:evenVBand="0" w:oddHBand="0" w:evenHBand="0" w:firstRowFirstColumn="0" w:firstRowLastColumn="0" w:lastRowFirstColumn="0" w:lastRowLastColumn="0"/>
            </w:pPr>
            <w:r>
              <w:t>Modalités diverses quant au comité territorial sur les services pharmaceutiques</w:t>
            </w:r>
          </w:p>
        </w:tc>
      </w:tr>
    </w:tbl>
    <w:p w14:paraId="2760EF69" w14:textId="77777777" w:rsidR="00250940" w:rsidRDefault="00250940" w:rsidP="00250940">
      <w:pPr>
        <w:ind w:firstLine="260"/>
        <w:jc w:val="both"/>
        <w:rPr>
          <w:rFonts w:ascii="Arial" w:eastAsia="Times New Roman" w:hAnsi="Arial" w:cs="Arial"/>
        </w:rPr>
      </w:pPr>
    </w:p>
    <w:p w14:paraId="501F97B1" w14:textId="77777777" w:rsidR="00250940" w:rsidRDefault="00250940"/>
    <w:sectPr w:rsidR="00250940" w:rsidSect="0084796D">
      <w:pgSz w:w="15840" w:h="12240" w:orient="landscape"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2B6C0" w14:textId="77777777" w:rsidR="00D129D8" w:rsidRDefault="00D129D8" w:rsidP="00C74B45">
      <w:pPr>
        <w:spacing w:after="0" w:line="240" w:lineRule="auto"/>
      </w:pPr>
      <w:r>
        <w:separator/>
      </w:r>
    </w:p>
  </w:endnote>
  <w:endnote w:type="continuationSeparator" w:id="0">
    <w:p w14:paraId="0F2AFC53" w14:textId="77777777" w:rsidR="00D129D8" w:rsidRDefault="00D129D8" w:rsidP="00C74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8B99B" w14:textId="77777777" w:rsidR="00D129D8" w:rsidRDefault="00D129D8" w:rsidP="00C74B45">
      <w:pPr>
        <w:spacing w:after="0" w:line="240" w:lineRule="auto"/>
      </w:pPr>
      <w:r>
        <w:separator/>
      </w:r>
    </w:p>
  </w:footnote>
  <w:footnote w:type="continuationSeparator" w:id="0">
    <w:p w14:paraId="78BB3733" w14:textId="77777777" w:rsidR="00D129D8" w:rsidRDefault="00D129D8" w:rsidP="00C74B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70E0E"/>
    <w:multiLevelType w:val="hybridMultilevel"/>
    <w:tmpl w:val="CF68899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374B737C"/>
    <w:multiLevelType w:val="hybridMultilevel"/>
    <w:tmpl w:val="313ADA78"/>
    <w:lvl w:ilvl="0" w:tplc="F8C079C6">
      <w:start w:val="80"/>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660E7DBF"/>
    <w:multiLevelType w:val="hybridMultilevel"/>
    <w:tmpl w:val="3C446DE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585572165">
    <w:abstractNumId w:val="1"/>
  </w:num>
  <w:num w:numId="2" w16cid:durableId="642856153">
    <w:abstractNumId w:val="2"/>
  </w:num>
  <w:num w:numId="3" w16cid:durableId="773670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45"/>
    <w:rsid w:val="000066B6"/>
    <w:rsid w:val="000272A7"/>
    <w:rsid w:val="000C5722"/>
    <w:rsid w:val="000D50E3"/>
    <w:rsid w:val="0018003B"/>
    <w:rsid w:val="001A721B"/>
    <w:rsid w:val="001C186A"/>
    <w:rsid w:val="001C3FE7"/>
    <w:rsid w:val="001E0AD0"/>
    <w:rsid w:val="001E4902"/>
    <w:rsid w:val="00207E58"/>
    <w:rsid w:val="00222D3D"/>
    <w:rsid w:val="00250940"/>
    <w:rsid w:val="002A5C7F"/>
    <w:rsid w:val="002C2E10"/>
    <w:rsid w:val="002C4EE7"/>
    <w:rsid w:val="002F0F72"/>
    <w:rsid w:val="00333AB0"/>
    <w:rsid w:val="00354D37"/>
    <w:rsid w:val="003666B8"/>
    <w:rsid w:val="003F62F3"/>
    <w:rsid w:val="00423091"/>
    <w:rsid w:val="00443DD2"/>
    <w:rsid w:val="00445789"/>
    <w:rsid w:val="004635C1"/>
    <w:rsid w:val="005116A2"/>
    <w:rsid w:val="00530C18"/>
    <w:rsid w:val="005538BD"/>
    <w:rsid w:val="005910D6"/>
    <w:rsid w:val="005A6BCB"/>
    <w:rsid w:val="005A6CC3"/>
    <w:rsid w:val="006040A4"/>
    <w:rsid w:val="0062418D"/>
    <w:rsid w:val="00690A25"/>
    <w:rsid w:val="006947B4"/>
    <w:rsid w:val="00694D49"/>
    <w:rsid w:val="006A44FC"/>
    <w:rsid w:val="006C55DF"/>
    <w:rsid w:val="006F0FEB"/>
    <w:rsid w:val="0070055F"/>
    <w:rsid w:val="00717752"/>
    <w:rsid w:val="00771C45"/>
    <w:rsid w:val="00834D85"/>
    <w:rsid w:val="00841B00"/>
    <w:rsid w:val="008452CA"/>
    <w:rsid w:val="0084796D"/>
    <w:rsid w:val="00896D80"/>
    <w:rsid w:val="008A32DB"/>
    <w:rsid w:val="008C5DD2"/>
    <w:rsid w:val="008E2F91"/>
    <w:rsid w:val="009052D2"/>
    <w:rsid w:val="00920EB5"/>
    <w:rsid w:val="009846FF"/>
    <w:rsid w:val="00990A27"/>
    <w:rsid w:val="0099250D"/>
    <w:rsid w:val="009D0ECF"/>
    <w:rsid w:val="009E11D5"/>
    <w:rsid w:val="009E347A"/>
    <w:rsid w:val="00A163FA"/>
    <w:rsid w:val="00A2787C"/>
    <w:rsid w:val="00A576FC"/>
    <w:rsid w:val="00A71823"/>
    <w:rsid w:val="00A81D1E"/>
    <w:rsid w:val="00AC26B9"/>
    <w:rsid w:val="00AD2169"/>
    <w:rsid w:val="00AD679B"/>
    <w:rsid w:val="00B27B3D"/>
    <w:rsid w:val="00B342D3"/>
    <w:rsid w:val="00B35905"/>
    <w:rsid w:val="00B52890"/>
    <w:rsid w:val="00B53D13"/>
    <w:rsid w:val="00B56F85"/>
    <w:rsid w:val="00BA430E"/>
    <w:rsid w:val="00BC3167"/>
    <w:rsid w:val="00BC4E1C"/>
    <w:rsid w:val="00BC72BD"/>
    <w:rsid w:val="00BD7D57"/>
    <w:rsid w:val="00BF7484"/>
    <w:rsid w:val="00C27669"/>
    <w:rsid w:val="00C74B45"/>
    <w:rsid w:val="00C911E2"/>
    <w:rsid w:val="00C93C3B"/>
    <w:rsid w:val="00CA27BA"/>
    <w:rsid w:val="00CB007A"/>
    <w:rsid w:val="00CB2093"/>
    <w:rsid w:val="00CC0064"/>
    <w:rsid w:val="00CC338E"/>
    <w:rsid w:val="00D129D8"/>
    <w:rsid w:val="00D13C56"/>
    <w:rsid w:val="00D25031"/>
    <w:rsid w:val="00D5416C"/>
    <w:rsid w:val="00DC7FCC"/>
    <w:rsid w:val="00DE4898"/>
    <w:rsid w:val="00DF5FB0"/>
    <w:rsid w:val="00E11541"/>
    <w:rsid w:val="00E402AC"/>
    <w:rsid w:val="00E62B03"/>
    <w:rsid w:val="00E7728C"/>
    <w:rsid w:val="00E853E5"/>
    <w:rsid w:val="00EA658D"/>
    <w:rsid w:val="00EC605A"/>
    <w:rsid w:val="00ED4660"/>
    <w:rsid w:val="00ED489E"/>
    <w:rsid w:val="00F4352F"/>
    <w:rsid w:val="00F55181"/>
    <w:rsid w:val="00F9690E"/>
    <w:rsid w:val="00FC2498"/>
    <w:rsid w:val="00FF7C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56EEA"/>
  <w15:chartTrackingRefBased/>
  <w15:docId w15:val="{559F6C79-8D87-4DB1-9604-F4F3BD270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74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4">
    <w:name w:val="Grid Table 5 Dark Accent 4"/>
    <w:basedOn w:val="TableauNormal"/>
    <w:uiPriority w:val="50"/>
    <w:rsid w:val="00C74B4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TableauGrille6Couleur-Accentuation4">
    <w:name w:val="Grid Table 6 Colorful Accent 4"/>
    <w:basedOn w:val="TableauNormal"/>
    <w:uiPriority w:val="51"/>
    <w:rsid w:val="00C74B4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Paragraphedeliste">
    <w:name w:val="List Paragraph"/>
    <w:basedOn w:val="Normal"/>
    <w:uiPriority w:val="34"/>
    <w:qFormat/>
    <w:rsid w:val="0084796D"/>
    <w:pPr>
      <w:ind w:left="720"/>
      <w:contextualSpacing/>
    </w:pPr>
  </w:style>
  <w:style w:type="character" w:styleId="Marquedecommentaire">
    <w:name w:val="annotation reference"/>
    <w:basedOn w:val="Policepardfaut"/>
    <w:uiPriority w:val="99"/>
    <w:semiHidden/>
    <w:unhideWhenUsed/>
    <w:rsid w:val="006040A4"/>
    <w:rPr>
      <w:sz w:val="16"/>
      <w:szCs w:val="16"/>
    </w:rPr>
  </w:style>
  <w:style w:type="paragraph" w:styleId="Commentaire">
    <w:name w:val="annotation text"/>
    <w:basedOn w:val="Normal"/>
    <w:link w:val="CommentaireCar"/>
    <w:uiPriority w:val="99"/>
    <w:semiHidden/>
    <w:unhideWhenUsed/>
    <w:rsid w:val="006040A4"/>
    <w:pPr>
      <w:spacing w:line="240" w:lineRule="auto"/>
    </w:pPr>
    <w:rPr>
      <w:sz w:val="20"/>
      <w:szCs w:val="20"/>
    </w:rPr>
  </w:style>
  <w:style w:type="character" w:customStyle="1" w:styleId="CommentaireCar">
    <w:name w:val="Commentaire Car"/>
    <w:basedOn w:val="Policepardfaut"/>
    <w:link w:val="Commentaire"/>
    <w:uiPriority w:val="99"/>
    <w:semiHidden/>
    <w:rsid w:val="006040A4"/>
    <w:rPr>
      <w:sz w:val="20"/>
      <w:szCs w:val="20"/>
    </w:rPr>
  </w:style>
  <w:style w:type="paragraph" w:styleId="Objetducommentaire">
    <w:name w:val="annotation subject"/>
    <w:basedOn w:val="Commentaire"/>
    <w:next w:val="Commentaire"/>
    <w:link w:val="ObjetducommentaireCar"/>
    <w:uiPriority w:val="99"/>
    <w:semiHidden/>
    <w:unhideWhenUsed/>
    <w:rsid w:val="006040A4"/>
    <w:rPr>
      <w:b/>
      <w:bCs/>
    </w:rPr>
  </w:style>
  <w:style w:type="character" w:customStyle="1" w:styleId="ObjetducommentaireCar">
    <w:name w:val="Objet du commentaire Car"/>
    <w:basedOn w:val="CommentaireCar"/>
    <w:link w:val="Objetducommentaire"/>
    <w:uiPriority w:val="99"/>
    <w:semiHidden/>
    <w:rsid w:val="006040A4"/>
    <w:rPr>
      <w:b/>
      <w:bCs/>
      <w:sz w:val="20"/>
      <w:szCs w:val="20"/>
    </w:rPr>
  </w:style>
  <w:style w:type="paragraph" w:styleId="En-tte">
    <w:name w:val="header"/>
    <w:basedOn w:val="Normal"/>
    <w:link w:val="En-tteCar"/>
    <w:uiPriority w:val="99"/>
    <w:unhideWhenUsed/>
    <w:rsid w:val="008C5DD2"/>
    <w:pPr>
      <w:tabs>
        <w:tab w:val="center" w:pos="4320"/>
        <w:tab w:val="right" w:pos="8640"/>
      </w:tabs>
      <w:spacing w:after="0" w:line="240" w:lineRule="auto"/>
    </w:pPr>
  </w:style>
  <w:style w:type="character" w:customStyle="1" w:styleId="En-tteCar">
    <w:name w:val="En-tête Car"/>
    <w:basedOn w:val="Policepardfaut"/>
    <w:link w:val="En-tte"/>
    <w:uiPriority w:val="99"/>
    <w:rsid w:val="008C5DD2"/>
  </w:style>
  <w:style w:type="paragraph" w:styleId="Pieddepage">
    <w:name w:val="footer"/>
    <w:basedOn w:val="Normal"/>
    <w:link w:val="PieddepageCar"/>
    <w:uiPriority w:val="99"/>
    <w:unhideWhenUsed/>
    <w:rsid w:val="008C5DD2"/>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8C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E5970AA5ABF240A993880531553FC4" ma:contentTypeVersion="5" ma:contentTypeDescription="Create a new document." ma:contentTypeScope="" ma:versionID="83b20127d4e88eebf9692cfd32a7d099">
  <xsd:schema xmlns:xsd="http://www.w3.org/2001/XMLSchema" xmlns:xs="http://www.w3.org/2001/XMLSchema" xmlns:p="http://schemas.microsoft.com/office/2006/metadata/properties" xmlns:ns2="68366cc2-5ecd-4e44-abbc-ff0b0ea7cdb0" xmlns:ns3="5b8ee0de-75aa-4440-9858-5a43bcaa7c1a" targetNamespace="http://schemas.microsoft.com/office/2006/metadata/properties" ma:root="true" ma:fieldsID="9f27b8f837073d52f82d627b5903a972" ns2:_="" ns3:_="">
    <xsd:import namespace="68366cc2-5ecd-4e44-abbc-ff0b0ea7cdb0"/>
    <xsd:import namespace="5b8ee0de-75aa-4440-9858-5a43bcaa7c1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366cc2-5ecd-4e44-abbc-ff0b0ea7c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8ee0de-75aa-4440-9858-5a43bcaa7c1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5CA40-6D5C-44AC-BFDB-2DBDF41FD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016641-E99C-448C-A2D8-A204C424C934}">
  <ds:schemaRefs>
    <ds:schemaRef ds:uri="http://schemas.microsoft.com/sharepoint/v3/contenttype/forms"/>
  </ds:schemaRefs>
</ds:datastoreItem>
</file>

<file path=customXml/itemProps3.xml><?xml version="1.0" encoding="utf-8"?>
<ds:datastoreItem xmlns:ds="http://schemas.openxmlformats.org/officeDocument/2006/customXml" ds:itemID="{C4656124-A971-402D-98E0-1BD957F5A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366cc2-5ecd-4e44-abbc-ff0b0ea7cdb0"/>
    <ds:schemaRef ds:uri="5b8ee0de-75aa-4440-9858-5a43bcaa7c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409</Words>
  <Characters>2255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Mathieu</dc:creator>
  <cp:keywords/>
  <dc:description/>
  <cp:lastModifiedBy>Thomas Pilon-Robitaille</cp:lastModifiedBy>
  <cp:revision>7</cp:revision>
  <cp:lastPrinted>2023-03-10T15:31:00Z</cp:lastPrinted>
  <dcterms:created xsi:type="dcterms:W3CDTF">2023-10-25T14:00:00Z</dcterms:created>
  <dcterms:modified xsi:type="dcterms:W3CDTF">2023-10-31T13:32:00Z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2023-02-06T01:48:28Z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9d7c8813-4f24-4cb8-8659-579bd15bd98c</vt:lpwstr>
  </property>
  <property fmtid="{D5CDD505-2E9C-101B-9397-08002B2CF9AE}" pid="8" name="MSIP_Label_6a7d8d5d-78e2-4a62-9fcd-016eb5e4c57c_ContentBits">
    <vt:lpwstr>0</vt:lpwstr>
  </property>
  <property fmtid="{D5CDD505-2E9C-101B-9397-08002B2CF9AE}" pid="9" name="ContentTypeId">
    <vt:lpwstr>0x0101009AE5970AA5ABF240A993880531553FC4</vt:lpwstr>
  </property>
</Properties>
</file>