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BBFE6" w14:textId="01A88A44" w:rsidR="00704502" w:rsidRDefault="00211EAE" w:rsidP="00177793">
      <w:pPr>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cstheme="minorHAnsi"/>
          <w:b/>
          <w:bCs/>
        </w:rPr>
      </w:pPr>
      <w:r w:rsidRPr="00E43BA1">
        <w:rPr>
          <w:rFonts w:cstheme="minorHAnsi"/>
          <w:b/>
          <w:bCs/>
        </w:rPr>
        <w:t>Associations nationales des représentants des comités des usagers</w:t>
      </w:r>
      <w:r w:rsidR="00AC1324">
        <w:rPr>
          <w:rFonts w:cstheme="minorHAnsi"/>
          <w:b/>
          <w:bCs/>
        </w:rPr>
        <w:t xml:space="preserve"> (CU)</w:t>
      </w:r>
      <w:r w:rsidRPr="00E43BA1">
        <w:rPr>
          <w:rFonts w:cstheme="minorHAnsi"/>
          <w:b/>
          <w:bCs/>
        </w:rPr>
        <w:t xml:space="preserve"> et des comités de résidents</w:t>
      </w:r>
      <w:r w:rsidR="00AC1324">
        <w:rPr>
          <w:rFonts w:cstheme="minorHAnsi"/>
          <w:b/>
          <w:bCs/>
        </w:rPr>
        <w:t xml:space="preserve"> (CR)</w:t>
      </w:r>
    </w:p>
    <w:p w14:paraId="0F1752DB" w14:textId="34D24054" w:rsidR="00AC1324" w:rsidRPr="00E43BA1" w:rsidRDefault="00AC1324" w:rsidP="00AC1324">
      <w:pPr>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cstheme="minorHAnsi"/>
          <w:b/>
          <w:bCs/>
        </w:rPr>
      </w:pPr>
      <w:r>
        <w:rPr>
          <w:rFonts w:cstheme="minorHAnsi"/>
          <w:b/>
          <w:bCs/>
        </w:rPr>
        <w:t>MISSION ET FINANCEMENT</w:t>
      </w:r>
    </w:p>
    <w:p w14:paraId="2716CD13" w14:textId="77777777" w:rsidR="003B1D54" w:rsidRDefault="003B1D54" w:rsidP="00211EAE">
      <w:pPr>
        <w:pStyle w:val="NormalWeb"/>
        <w:spacing w:before="120" w:beforeAutospacing="0" w:after="120" w:afterAutospacing="0" w:line="22" w:lineRule="atLeast"/>
        <w:jc w:val="both"/>
        <w:rPr>
          <w:rFonts w:asciiTheme="minorHAnsi" w:hAnsiTheme="minorHAnsi" w:cstheme="minorHAnsi"/>
          <w:b/>
          <w:bCs/>
          <w:sz w:val="22"/>
          <w:szCs w:val="22"/>
        </w:rPr>
      </w:pPr>
    </w:p>
    <w:p w14:paraId="5C2F9CF0" w14:textId="6D4C66F6" w:rsidR="00211EAE" w:rsidRPr="00211EAE" w:rsidRDefault="00211EAE" w:rsidP="00211EAE">
      <w:pPr>
        <w:pStyle w:val="NormalWeb"/>
        <w:spacing w:before="120" w:beforeAutospacing="0" w:after="120" w:afterAutospacing="0" w:line="22" w:lineRule="atLeast"/>
        <w:jc w:val="both"/>
        <w:rPr>
          <w:rFonts w:asciiTheme="minorHAnsi" w:hAnsiTheme="minorHAnsi" w:cstheme="minorHAnsi"/>
          <w:sz w:val="22"/>
          <w:szCs w:val="22"/>
        </w:rPr>
      </w:pPr>
      <w:r w:rsidRPr="00211EAE">
        <w:rPr>
          <w:rFonts w:asciiTheme="minorHAnsi" w:hAnsiTheme="minorHAnsi" w:cstheme="minorHAnsi"/>
          <w:b/>
          <w:bCs/>
          <w:sz w:val="22"/>
          <w:szCs w:val="22"/>
        </w:rPr>
        <w:t xml:space="preserve">Regroupement provincial des comités des usagers (RPCU) </w:t>
      </w:r>
    </w:p>
    <w:p w14:paraId="1035E088" w14:textId="25468B69" w:rsidR="00211EAE" w:rsidRDefault="00E43BA1" w:rsidP="00211EAE">
      <w:pPr>
        <w:numPr>
          <w:ilvl w:val="0"/>
          <w:numId w:val="1"/>
        </w:numPr>
        <w:spacing w:before="120" w:after="120" w:line="22" w:lineRule="atLeast"/>
        <w:jc w:val="both"/>
        <w:rPr>
          <w:rFonts w:cstheme="minorHAnsi"/>
        </w:rPr>
      </w:pPr>
      <w:r>
        <w:rPr>
          <w:rFonts w:cstheme="minorHAnsi"/>
        </w:rPr>
        <w:t>O</w:t>
      </w:r>
      <w:r w:rsidR="00211EAE" w:rsidRPr="00211EAE">
        <w:rPr>
          <w:rFonts w:cstheme="minorHAnsi"/>
        </w:rPr>
        <w:t>rganisme sans but lucratif créé en 2004 par et pour les CU/CR</w:t>
      </w:r>
      <w:r>
        <w:rPr>
          <w:rFonts w:cstheme="minorHAnsi"/>
        </w:rPr>
        <w:t>.</w:t>
      </w:r>
    </w:p>
    <w:p w14:paraId="58555239" w14:textId="1ECD2F2A" w:rsidR="00211EAE" w:rsidRDefault="00E43BA1" w:rsidP="00211EAE">
      <w:pPr>
        <w:pStyle w:val="NormalWeb"/>
        <w:numPr>
          <w:ilvl w:val="0"/>
          <w:numId w:val="1"/>
        </w:numPr>
        <w:spacing w:before="120" w:beforeAutospacing="0" w:after="120" w:afterAutospacing="0" w:line="22" w:lineRule="atLeast"/>
        <w:jc w:val="both"/>
        <w:rPr>
          <w:rFonts w:asciiTheme="minorHAnsi" w:hAnsiTheme="minorHAnsi" w:cstheme="minorHAnsi"/>
          <w:sz w:val="22"/>
          <w:szCs w:val="22"/>
        </w:rPr>
      </w:pPr>
      <w:r w:rsidRPr="00E43BA1">
        <w:rPr>
          <w:rFonts w:asciiTheme="minorHAnsi" w:hAnsiTheme="minorHAnsi" w:cstheme="minorHAnsi"/>
          <w:sz w:val="22"/>
          <w:szCs w:val="22"/>
          <w:u w:val="single"/>
        </w:rPr>
        <w:t>M</w:t>
      </w:r>
      <w:r w:rsidR="00211EAE" w:rsidRPr="00E43BA1">
        <w:rPr>
          <w:rFonts w:asciiTheme="minorHAnsi" w:hAnsiTheme="minorHAnsi" w:cstheme="minorHAnsi"/>
          <w:sz w:val="22"/>
          <w:szCs w:val="22"/>
          <w:u w:val="single"/>
        </w:rPr>
        <w:t>ission</w:t>
      </w:r>
      <w:r>
        <w:rPr>
          <w:rFonts w:asciiTheme="minorHAnsi" w:hAnsiTheme="minorHAnsi" w:cstheme="minorHAnsi"/>
          <w:sz w:val="22"/>
          <w:szCs w:val="22"/>
        </w:rPr>
        <w:t> : D</w:t>
      </w:r>
      <w:r w:rsidR="00211EAE" w:rsidRPr="00211EAE">
        <w:rPr>
          <w:rFonts w:asciiTheme="minorHAnsi" w:hAnsiTheme="minorHAnsi" w:cstheme="minorHAnsi"/>
          <w:sz w:val="22"/>
          <w:szCs w:val="22"/>
        </w:rPr>
        <w:t xml:space="preserve">éfendre et protéger les droits des usagers du RSSS, en soutenant les CU/CR dans la réalisation de leur mandat. </w:t>
      </w:r>
      <w:r w:rsidR="00AC1324">
        <w:rPr>
          <w:rFonts w:asciiTheme="minorHAnsi" w:hAnsiTheme="minorHAnsi" w:cstheme="minorHAnsi"/>
          <w:sz w:val="22"/>
          <w:szCs w:val="22"/>
        </w:rPr>
        <w:t>Le RPCU soutient également les CUCI (comité des usagers des centres intégrés).</w:t>
      </w:r>
    </w:p>
    <w:p w14:paraId="31EA77BE" w14:textId="6F5051D6" w:rsidR="00211EAE" w:rsidRPr="00211EAE" w:rsidRDefault="00E43BA1" w:rsidP="00211EAE">
      <w:pPr>
        <w:pStyle w:val="NormalWeb"/>
        <w:numPr>
          <w:ilvl w:val="0"/>
          <w:numId w:val="1"/>
        </w:numPr>
        <w:spacing w:before="120" w:beforeAutospacing="0" w:after="120" w:afterAutospacing="0" w:line="22" w:lineRule="atLeast"/>
        <w:jc w:val="both"/>
        <w:rPr>
          <w:rFonts w:asciiTheme="minorHAnsi" w:hAnsiTheme="minorHAnsi" w:cstheme="minorHAnsi"/>
          <w:sz w:val="22"/>
          <w:szCs w:val="22"/>
        </w:rPr>
      </w:pPr>
      <w:r>
        <w:rPr>
          <w:rFonts w:asciiTheme="minorHAnsi" w:hAnsiTheme="minorHAnsi" w:cstheme="minorHAnsi"/>
          <w:sz w:val="22"/>
          <w:szCs w:val="22"/>
        </w:rPr>
        <w:t>R</w:t>
      </w:r>
      <w:r w:rsidR="00211EAE" w:rsidRPr="00211EAE">
        <w:rPr>
          <w:rFonts w:asciiTheme="minorHAnsi" w:hAnsiTheme="minorHAnsi" w:cstheme="minorHAnsi"/>
          <w:sz w:val="22"/>
          <w:szCs w:val="22"/>
        </w:rPr>
        <w:t>ôle en trois volets :</w:t>
      </w:r>
    </w:p>
    <w:p w14:paraId="2668C6B3" w14:textId="5B4564B8" w:rsidR="00211EAE" w:rsidRPr="00211EAE" w:rsidRDefault="00211EAE" w:rsidP="00166E36">
      <w:pPr>
        <w:numPr>
          <w:ilvl w:val="0"/>
          <w:numId w:val="5"/>
        </w:numPr>
        <w:spacing w:before="120" w:after="120" w:line="22" w:lineRule="atLeast"/>
        <w:jc w:val="both"/>
        <w:rPr>
          <w:rFonts w:cstheme="minorHAnsi"/>
        </w:rPr>
      </w:pPr>
      <w:r w:rsidRPr="00211EAE">
        <w:rPr>
          <w:rFonts w:cstheme="minorHAnsi"/>
        </w:rPr>
        <w:t>Représentation, en étant porte-parole des CU/CR auprès du MSSS ;</w:t>
      </w:r>
    </w:p>
    <w:p w14:paraId="1C9B89EF" w14:textId="77777777" w:rsidR="00211EAE" w:rsidRPr="00211EAE" w:rsidRDefault="00211EAE" w:rsidP="00166E36">
      <w:pPr>
        <w:numPr>
          <w:ilvl w:val="0"/>
          <w:numId w:val="5"/>
        </w:numPr>
        <w:spacing w:before="120" w:after="120" w:line="22" w:lineRule="atLeast"/>
        <w:jc w:val="both"/>
        <w:rPr>
          <w:rFonts w:cstheme="minorHAnsi"/>
        </w:rPr>
      </w:pPr>
      <w:r w:rsidRPr="00211EAE">
        <w:rPr>
          <w:rFonts w:cstheme="minorHAnsi"/>
        </w:rPr>
        <w:t>Soutien, en offrant à ses membres un soutien technique, des instruments de travail et diverses ressources : matériel promotionnel, publication, organisation d’une semaine thématique, remise des Prix RPCU de l’excellence, congrès, etc. ;</w:t>
      </w:r>
    </w:p>
    <w:p w14:paraId="1607658D" w14:textId="77777777" w:rsidR="00211EAE" w:rsidRPr="00211EAE" w:rsidRDefault="00211EAE" w:rsidP="00166E36">
      <w:pPr>
        <w:numPr>
          <w:ilvl w:val="0"/>
          <w:numId w:val="5"/>
        </w:numPr>
        <w:spacing w:before="120" w:after="120" w:line="22" w:lineRule="atLeast"/>
        <w:jc w:val="both"/>
        <w:rPr>
          <w:rFonts w:cstheme="minorHAnsi"/>
        </w:rPr>
      </w:pPr>
      <w:r w:rsidRPr="00211EAE">
        <w:rPr>
          <w:rFonts w:cstheme="minorHAnsi"/>
        </w:rPr>
        <w:t>Formations pour les CU/CR.</w:t>
      </w:r>
    </w:p>
    <w:p w14:paraId="34CF8FE4" w14:textId="09DDA034" w:rsidR="00211EAE" w:rsidRPr="00211EAE" w:rsidRDefault="00E43BA1" w:rsidP="00211EAE">
      <w:pPr>
        <w:numPr>
          <w:ilvl w:val="0"/>
          <w:numId w:val="1"/>
        </w:numPr>
        <w:spacing w:before="120" w:after="120" w:line="22" w:lineRule="atLeast"/>
        <w:jc w:val="both"/>
        <w:rPr>
          <w:rFonts w:cstheme="minorHAnsi"/>
        </w:rPr>
      </w:pPr>
      <w:proofErr w:type="spellStart"/>
      <w:r w:rsidRPr="00E43BA1">
        <w:rPr>
          <w:rFonts w:cstheme="minorHAnsi"/>
          <w:u w:val="single"/>
        </w:rPr>
        <w:t>Membership</w:t>
      </w:r>
      <w:proofErr w:type="spellEnd"/>
      <w:r w:rsidRPr="00E43BA1">
        <w:rPr>
          <w:rFonts w:cstheme="minorHAnsi"/>
          <w:u w:val="single"/>
        </w:rPr>
        <w:t> et cotisation</w:t>
      </w:r>
      <w:r>
        <w:rPr>
          <w:rFonts w:cstheme="minorHAnsi"/>
        </w:rPr>
        <w:t xml:space="preserve"> : </w:t>
      </w:r>
      <w:r w:rsidR="00211EAE" w:rsidRPr="00211EAE">
        <w:rPr>
          <w:rFonts w:cstheme="minorHAnsi"/>
        </w:rPr>
        <w:t>RPCU prétend que ses membres représentent environ 90 % des CU/CR du RSSS. En 2022-2023, les cotisations de ses membres ont atteint 95 180 $</w:t>
      </w:r>
      <w:r>
        <w:rPr>
          <w:rFonts w:cstheme="minorHAnsi"/>
        </w:rPr>
        <w:t>.</w:t>
      </w:r>
    </w:p>
    <w:p w14:paraId="19CFE41D" w14:textId="0EED39B8" w:rsidR="00211EAE" w:rsidRPr="00211EAE" w:rsidRDefault="00E43BA1" w:rsidP="00211EAE">
      <w:pPr>
        <w:pStyle w:val="Default"/>
        <w:numPr>
          <w:ilvl w:val="0"/>
          <w:numId w:val="1"/>
        </w:numPr>
        <w:jc w:val="both"/>
        <w:rPr>
          <w:rFonts w:asciiTheme="minorHAnsi" w:hAnsiTheme="minorHAnsi" w:cstheme="minorHAnsi"/>
          <w:sz w:val="22"/>
          <w:szCs w:val="22"/>
        </w:rPr>
      </w:pPr>
      <w:r w:rsidRPr="00E43BA1">
        <w:rPr>
          <w:rFonts w:asciiTheme="minorHAnsi" w:hAnsiTheme="minorHAnsi" w:cstheme="minorHAnsi"/>
          <w:sz w:val="22"/>
          <w:szCs w:val="22"/>
          <w:u w:val="single"/>
        </w:rPr>
        <w:t>Financement</w:t>
      </w:r>
      <w:r>
        <w:rPr>
          <w:rFonts w:asciiTheme="minorHAnsi" w:hAnsiTheme="minorHAnsi" w:cstheme="minorHAnsi"/>
          <w:sz w:val="22"/>
          <w:szCs w:val="22"/>
        </w:rPr>
        <w:t> : F</w:t>
      </w:r>
      <w:r w:rsidR="00211EAE" w:rsidRPr="00211EAE">
        <w:rPr>
          <w:rFonts w:asciiTheme="minorHAnsi" w:hAnsiTheme="minorHAnsi" w:cstheme="minorHAnsi"/>
          <w:sz w:val="22"/>
          <w:szCs w:val="22"/>
        </w:rPr>
        <w:t>inancé depuis l’exercice 2020-2021 à hauteur de 500 000$ par le biais d’une entente de partenariat qui inclut certains livrables au niveau de la réalisation d’activités priorisées annuellement par le MSSS.</w:t>
      </w:r>
    </w:p>
    <w:p w14:paraId="576EEE8C" w14:textId="77777777" w:rsidR="00211EAE" w:rsidRPr="00211EAE" w:rsidRDefault="00211EAE" w:rsidP="00211EAE">
      <w:pPr>
        <w:pStyle w:val="Default"/>
        <w:ind w:left="360"/>
        <w:jc w:val="both"/>
        <w:rPr>
          <w:rFonts w:asciiTheme="minorHAnsi" w:hAnsiTheme="minorHAnsi" w:cstheme="minorHAnsi"/>
          <w:sz w:val="22"/>
          <w:szCs w:val="22"/>
        </w:rPr>
      </w:pPr>
    </w:p>
    <w:p w14:paraId="55C24BAC" w14:textId="77777777" w:rsidR="00211EAE" w:rsidRPr="00211EAE" w:rsidRDefault="00211EAE" w:rsidP="00211EAE">
      <w:pPr>
        <w:pStyle w:val="NormalWeb"/>
        <w:spacing w:before="120" w:beforeAutospacing="0" w:after="120" w:afterAutospacing="0" w:line="22" w:lineRule="atLeast"/>
        <w:jc w:val="both"/>
        <w:rPr>
          <w:rFonts w:asciiTheme="minorHAnsi" w:hAnsiTheme="minorHAnsi" w:cstheme="minorHAnsi"/>
          <w:sz w:val="22"/>
          <w:szCs w:val="22"/>
        </w:rPr>
      </w:pPr>
      <w:r w:rsidRPr="00211EAE">
        <w:rPr>
          <w:rFonts w:asciiTheme="minorHAnsi" w:hAnsiTheme="minorHAnsi" w:cstheme="minorHAnsi"/>
          <w:b/>
          <w:bCs/>
          <w:sz w:val="22"/>
          <w:szCs w:val="22"/>
        </w:rPr>
        <w:t>Conseil pour la protection des malades (CPM)</w:t>
      </w:r>
    </w:p>
    <w:p w14:paraId="19DDE505" w14:textId="20303C8F" w:rsidR="00211EAE" w:rsidRPr="00211EAE" w:rsidRDefault="00E43BA1" w:rsidP="00211EAE">
      <w:pPr>
        <w:pStyle w:val="NormalWeb"/>
        <w:numPr>
          <w:ilvl w:val="0"/>
          <w:numId w:val="1"/>
        </w:numPr>
        <w:spacing w:before="120" w:beforeAutospacing="0" w:after="120" w:afterAutospacing="0" w:line="22" w:lineRule="atLeast"/>
        <w:jc w:val="both"/>
        <w:rPr>
          <w:rFonts w:asciiTheme="minorHAnsi" w:hAnsiTheme="minorHAnsi" w:cstheme="minorHAnsi"/>
          <w:sz w:val="22"/>
          <w:szCs w:val="22"/>
        </w:rPr>
      </w:pPr>
      <w:r>
        <w:rPr>
          <w:rFonts w:asciiTheme="minorHAnsi" w:hAnsiTheme="minorHAnsi" w:cstheme="minorHAnsi"/>
          <w:sz w:val="22"/>
          <w:szCs w:val="22"/>
        </w:rPr>
        <w:t>O</w:t>
      </w:r>
      <w:r w:rsidR="00211EAE" w:rsidRPr="00211EAE">
        <w:rPr>
          <w:rFonts w:asciiTheme="minorHAnsi" w:hAnsiTheme="minorHAnsi" w:cstheme="minorHAnsi"/>
          <w:sz w:val="22"/>
          <w:szCs w:val="22"/>
        </w:rPr>
        <w:t xml:space="preserve">rganisme voué à la défense et à la promotion des droits des usagers du RSSS. </w:t>
      </w:r>
    </w:p>
    <w:p w14:paraId="70A7BAFE" w14:textId="679952D4" w:rsidR="00211EAE" w:rsidRPr="00211EAE" w:rsidRDefault="00E43BA1" w:rsidP="00211EAE">
      <w:pPr>
        <w:pStyle w:val="NormalWeb"/>
        <w:numPr>
          <w:ilvl w:val="0"/>
          <w:numId w:val="1"/>
        </w:numPr>
        <w:spacing w:before="120" w:beforeAutospacing="0" w:after="120" w:afterAutospacing="0" w:line="22" w:lineRule="atLeast"/>
        <w:jc w:val="both"/>
        <w:rPr>
          <w:rFonts w:asciiTheme="minorHAnsi" w:hAnsiTheme="minorHAnsi" w:cstheme="minorHAnsi"/>
          <w:sz w:val="22"/>
          <w:szCs w:val="22"/>
        </w:rPr>
      </w:pPr>
      <w:r w:rsidRPr="00E43BA1">
        <w:rPr>
          <w:rFonts w:asciiTheme="minorHAnsi" w:hAnsiTheme="minorHAnsi" w:cstheme="minorHAnsi"/>
          <w:sz w:val="22"/>
          <w:szCs w:val="22"/>
          <w:u w:val="single"/>
        </w:rPr>
        <w:t>Mission</w:t>
      </w:r>
      <w:r>
        <w:rPr>
          <w:rFonts w:asciiTheme="minorHAnsi" w:hAnsiTheme="minorHAnsi" w:cstheme="minorHAnsi"/>
          <w:sz w:val="22"/>
          <w:szCs w:val="22"/>
        </w:rPr>
        <w:t> :  O</w:t>
      </w:r>
      <w:r w:rsidR="00211EAE" w:rsidRPr="00211EAE">
        <w:rPr>
          <w:rFonts w:asciiTheme="minorHAnsi" w:hAnsiTheme="minorHAnsi" w:cstheme="minorHAnsi"/>
          <w:sz w:val="22"/>
          <w:szCs w:val="22"/>
        </w:rPr>
        <w:t>ffre de services d’accompagnement aux citoyens, moyennant tarification, et de services juridiques en cas de recours</w:t>
      </w:r>
      <w:r>
        <w:rPr>
          <w:rFonts w:asciiTheme="minorHAnsi" w:hAnsiTheme="minorHAnsi" w:cstheme="minorHAnsi"/>
          <w:sz w:val="22"/>
          <w:szCs w:val="22"/>
        </w:rPr>
        <w:t>, notamment</w:t>
      </w:r>
      <w:r w:rsidR="00211EAE" w:rsidRPr="00211EAE">
        <w:rPr>
          <w:rFonts w:asciiTheme="minorHAnsi" w:hAnsiTheme="minorHAnsi" w:cstheme="minorHAnsi"/>
          <w:sz w:val="22"/>
          <w:szCs w:val="22"/>
        </w:rPr>
        <w:t xml:space="preserve">. Sa mission se concrétise également par la médiatisation de ses interventions et l’organisation de recours collectifs. </w:t>
      </w:r>
    </w:p>
    <w:p w14:paraId="49A80152" w14:textId="243E8620" w:rsidR="00E43BA1" w:rsidRDefault="00E43BA1" w:rsidP="00211EAE">
      <w:pPr>
        <w:pStyle w:val="NormalWeb"/>
        <w:numPr>
          <w:ilvl w:val="0"/>
          <w:numId w:val="1"/>
        </w:numPr>
        <w:spacing w:before="120" w:beforeAutospacing="0" w:after="120" w:afterAutospacing="0" w:line="22" w:lineRule="atLeast"/>
        <w:jc w:val="both"/>
        <w:rPr>
          <w:rFonts w:asciiTheme="minorHAnsi" w:hAnsiTheme="minorHAnsi" w:cstheme="minorHAnsi"/>
          <w:sz w:val="22"/>
          <w:szCs w:val="22"/>
        </w:rPr>
      </w:pPr>
      <w:proofErr w:type="spellStart"/>
      <w:r w:rsidRPr="00E43BA1">
        <w:rPr>
          <w:rFonts w:asciiTheme="minorHAnsi" w:hAnsiTheme="minorHAnsi" w:cstheme="minorHAnsi"/>
          <w:sz w:val="22"/>
          <w:szCs w:val="22"/>
          <w:u w:val="single"/>
        </w:rPr>
        <w:t>Membership</w:t>
      </w:r>
      <w:proofErr w:type="spellEnd"/>
      <w:r>
        <w:rPr>
          <w:rFonts w:asciiTheme="minorHAnsi" w:hAnsiTheme="minorHAnsi" w:cstheme="minorHAnsi"/>
          <w:sz w:val="22"/>
          <w:szCs w:val="22"/>
          <w:u w:val="single"/>
        </w:rPr>
        <w:t xml:space="preserve"> et cotisation</w:t>
      </w:r>
      <w:r>
        <w:rPr>
          <w:rFonts w:asciiTheme="minorHAnsi" w:hAnsiTheme="minorHAnsi" w:cstheme="minorHAnsi"/>
          <w:sz w:val="22"/>
          <w:szCs w:val="22"/>
        </w:rPr>
        <w:t xml:space="preserve"> : </w:t>
      </w:r>
      <w:r w:rsidRPr="00211EAE">
        <w:rPr>
          <w:rFonts w:asciiTheme="minorHAnsi" w:hAnsiTheme="minorHAnsi" w:cstheme="minorHAnsi"/>
          <w:sz w:val="22"/>
          <w:szCs w:val="22"/>
        </w:rPr>
        <w:t>CPM prétend représenter environ 38% des CU/CR du RSSS</w:t>
      </w:r>
      <w:r>
        <w:rPr>
          <w:rFonts w:asciiTheme="minorHAnsi" w:hAnsiTheme="minorHAnsi" w:cstheme="minorHAnsi"/>
          <w:sz w:val="22"/>
          <w:szCs w:val="22"/>
        </w:rPr>
        <w:t>. Pas de détails sur la cotisation des membres.</w:t>
      </w:r>
    </w:p>
    <w:p w14:paraId="56F4D673" w14:textId="183531D4" w:rsidR="00211EAE" w:rsidRPr="00E43BA1" w:rsidRDefault="00E43BA1" w:rsidP="00E43BA1">
      <w:pPr>
        <w:pStyle w:val="NormalWeb"/>
        <w:numPr>
          <w:ilvl w:val="0"/>
          <w:numId w:val="1"/>
        </w:numPr>
        <w:spacing w:before="120" w:beforeAutospacing="0" w:after="120" w:afterAutospacing="0" w:line="22" w:lineRule="atLeast"/>
        <w:jc w:val="both"/>
        <w:rPr>
          <w:rFonts w:asciiTheme="minorHAnsi" w:hAnsiTheme="minorHAnsi" w:cstheme="minorHAnsi"/>
          <w:sz w:val="22"/>
          <w:szCs w:val="22"/>
        </w:rPr>
      </w:pPr>
      <w:r w:rsidRPr="00E43BA1">
        <w:rPr>
          <w:rFonts w:asciiTheme="minorHAnsi" w:hAnsiTheme="minorHAnsi" w:cstheme="minorHAnsi"/>
          <w:sz w:val="22"/>
          <w:szCs w:val="22"/>
          <w:u w:val="single"/>
        </w:rPr>
        <w:t>Financement</w:t>
      </w:r>
      <w:r w:rsidRPr="00E43BA1">
        <w:rPr>
          <w:rFonts w:asciiTheme="minorHAnsi" w:hAnsiTheme="minorHAnsi" w:cstheme="minorHAnsi"/>
          <w:sz w:val="22"/>
          <w:szCs w:val="22"/>
        </w:rPr>
        <w:t xml:space="preserve"> : </w:t>
      </w:r>
      <w:r w:rsidR="00211EAE" w:rsidRPr="00E43BA1">
        <w:rPr>
          <w:rFonts w:asciiTheme="minorHAnsi" w:hAnsiTheme="minorHAnsi" w:cstheme="minorHAnsi"/>
          <w:sz w:val="22"/>
          <w:szCs w:val="22"/>
        </w:rPr>
        <w:t xml:space="preserve">130 000$ </w:t>
      </w:r>
      <w:r w:rsidRPr="00E43BA1">
        <w:rPr>
          <w:rFonts w:asciiTheme="minorHAnsi" w:hAnsiTheme="minorHAnsi" w:cstheme="minorHAnsi"/>
          <w:sz w:val="22"/>
          <w:szCs w:val="22"/>
        </w:rPr>
        <w:t xml:space="preserve">annuel du Secrétariat à l’action communautaire autonome et aux initiatives sociales (SACAIS) du MTESS + </w:t>
      </w:r>
      <w:r w:rsidR="00211EAE" w:rsidRPr="00E43BA1">
        <w:rPr>
          <w:rFonts w:asciiTheme="minorHAnsi" w:hAnsiTheme="minorHAnsi" w:cstheme="minorHAnsi"/>
          <w:sz w:val="22"/>
          <w:szCs w:val="22"/>
        </w:rPr>
        <w:t>50 000 $ sous forme de marge ministérielle normée</w:t>
      </w:r>
      <w:r w:rsidR="00177793">
        <w:rPr>
          <w:rFonts w:asciiTheme="minorHAnsi" w:hAnsiTheme="minorHAnsi" w:cstheme="minorHAnsi"/>
          <w:sz w:val="22"/>
          <w:szCs w:val="22"/>
        </w:rPr>
        <w:t xml:space="preserve"> </w:t>
      </w:r>
      <w:r w:rsidR="00177793" w:rsidRPr="00E43BA1">
        <w:rPr>
          <w:rFonts w:asciiTheme="minorHAnsi" w:hAnsiTheme="minorHAnsi" w:cstheme="minorHAnsi"/>
          <w:sz w:val="22"/>
          <w:szCs w:val="22"/>
        </w:rPr>
        <w:t>+ dons reçus du public par sa fondation et de services tarifés</w:t>
      </w:r>
      <w:r w:rsidR="00211EAE" w:rsidRPr="00E43BA1">
        <w:rPr>
          <w:rFonts w:asciiTheme="minorHAnsi" w:hAnsiTheme="minorHAnsi" w:cstheme="minorHAnsi"/>
          <w:sz w:val="22"/>
          <w:szCs w:val="22"/>
        </w:rPr>
        <w:t>.</w:t>
      </w:r>
    </w:p>
    <w:p w14:paraId="0C6A88B9" w14:textId="3DCC079C" w:rsidR="00AC1324" w:rsidRDefault="00AC1324">
      <w:pPr>
        <w:rPr>
          <w:rFonts w:cstheme="minorHAnsi"/>
          <w:b/>
          <w:bCs/>
        </w:rPr>
      </w:pPr>
      <w:r>
        <w:rPr>
          <w:rFonts w:cstheme="minorHAnsi"/>
          <w:b/>
          <w:bCs/>
        </w:rPr>
        <w:br w:type="page"/>
      </w:r>
    </w:p>
    <w:p w14:paraId="1DCC0D30" w14:textId="12095E12" w:rsidR="00211EAE" w:rsidRPr="00211EAE" w:rsidRDefault="00211EAE" w:rsidP="00211EAE">
      <w:pPr>
        <w:spacing w:before="120" w:after="120" w:line="22" w:lineRule="atLeast"/>
        <w:jc w:val="both"/>
        <w:rPr>
          <w:rFonts w:cstheme="minorHAnsi"/>
          <w:b/>
          <w:bCs/>
        </w:rPr>
      </w:pPr>
      <w:r w:rsidRPr="00211EAE">
        <w:rPr>
          <w:rFonts w:cstheme="minorHAnsi"/>
          <w:b/>
          <w:bCs/>
        </w:rPr>
        <w:lastRenderedPageBreak/>
        <w:t>L’Alliance des patients pour la santé (APS)</w:t>
      </w:r>
    </w:p>
    <w:p w14:paraId="1C261B97" w14:textId="64E4924E" w:rsidR="00177793" w:rsidRDefault="00177793" w:rsidP="00211EAE">
      <w:pPr>
        <w:pStyle w:val="Paragraphedeliste"/>
        <w:numPr>
          <w:ilvl w:val="0"/>
          <w:numId w:val="1"/>
        </w:numPr>
        <w:spacing w:before="120" w:after="120" w:line="264" w:lineRule="auto"/>
        <w:jc w:val="both"/>
        <w:rPr>
          <w:rFonts w:asciiTheme="minorHAnsi" w:hAnsiTheme="minorHAnsi" w:cstheme="minorHAnsi"/>
          <w:sz w:val="22"/>
          <w:szCs w:val="22"/>
        </w:rPr>
      </w:pPr>
      <w:r w:rsidRPr="00177793">
        <w:rPr>
          <w:rFonts w:asciiTheme="minorHAnsi" w:hAnsiTheme="minorHAnsi" w:cstheme="minorHAnsi"/>
          <w:sz w:val="22"/>
          <w:szCs w:val="22"/>
          <w:u w:val="single"/>
        </w:rPr>
        <w:t>Mission</w:t>
      </w:r>
      <w:r>
        <w:rPr>
          <w:rFonts w:asciiTheme="minorHAnsi" w:hAnsiTheme="minorHAnsi" w:cstheme="minorHAnsi"/>
          <w:sz w:val="22"/>
          <w:szCs w:val="22"/>
        </w:rPr>
        <w:t xml:space="preserve"> : </w:t>
      </w:r>
      <w:r w:rsidR="00F55A3B">
        <w:rPr>
          <w:rFonts w:asciiTheme="minorHAnsi" w:hAnsiTheme="minorHAnsi" w:cstheme="minorHAnsi"/>
          <w:sz w:val="22"/>
          <w:szCs w:val="22"/>
        </w:rPr>
        <w:t xml:space="preserve">Promouvoir et défendre les intérêts des patients. </w:t>
      </w:r>
      <w:r w:rsidR="00F55A3B" w:rsidRPr="00211EAE">
        <w:rPr>
          <w:rFonts w:asciiTheme="minorHAnsi" w:hAnsiTheme="minorHAnsi" w:cstheme="minorHAnsi"/>
          <w:sz w:val="22"/>
          <w:szCs w:val="22"/>
        </w:rPr>
        <w:t>Plusieurs des membres de l’Alliance lèvent des fonds pour financer la recherche et l’innovation et appuient des initiatives locales et régionales de mobilisation pour l’avancement des soins et des services aux patients.</w:t>
      </w:r>
    </w:p>
    <w:p w14:paraId="382299F1" w14:textId="2BE08B14" w:rsidR="00211EAE" w:rsidRPr="00211EAE" w:rsidRDefault="00177793" w:rsidP="00211EAE">
      <w:pPr>
        <w:pStyle w:val="Paragraphedeliste"/>
        <w:numPr>
          <w:ilvl w:val="0"/>
          <w:numId w:val="1"/>
        </w:numPr>
        <w:spacing w:before="120" w:after="120" w:line="264" w:lineRule="auto"/>
        <w:jc w:val="both"/>
        <w:rPr>
          <w:rFonts w:asciiTheme="minorHAnsi" w:hAnsiTheme="minorHAnsi" w:cstheme="minorHAnsi"/>
          <w:sz w:val="22"/>
          <w:szCs w:val="22"/>
        </w:rPr>
      </w:pPr>
      <w:proofErr w:type="spellStart"/>
      <w:r w:rsidRPr="00177793">
        <w:rPr>
          <w:rFonts w:asciiTheme="minorHAnsi" w:hAnsiTheme="minorHAnsi" w:cstheme="minorHAnsi"/>
          <w:sz w:val="22"/>
          <w:szCs w:val="22"/>
          <w:u w:val="single"/>
        </w:rPr>
        <w:t>Membership</w:t>
      </w:r>
      <w:proofErr w:type="spellEnd"/>
      <w:r w:rsidRPr="00177793">
        <w:rPr>
          <w:rFonts w:asciiTheme="minorHAnsi" w:hAnsiTheme="minorHAnsi" w:cstheme="minorHAnsi"/>
          <w:sz w:val="22"/>
          <w:szCs w:val="22"/>
          <w:u w:val="single"/>
        </w:rPr>
        <w:t xml:space="preserve"> et cotisation</w:t>
      </w:r>
      <w:r>
        <w:rPr>
          <w:rFonts w:asciiTheme="minorHAnsi" w:hAnsiTheme="minorHAnsi" w:cstheme="minorHAnsi"/>
          <w:sz w:val="22"/>
          <w:szCs w:val="22"/>
        </w:rPr>
        <w:t xml:space="preserve"> : </w:t>
      </w:r>
      <w:r w:rsidR="00211EAE" w:rsidRPr="00211EAE">
        <w:rPr>
          <w:rFonts w:asciiTheme="minorHAnsi" w:hAnsiTheme="minorHAnsi" w:cstheme="minorHAnsi"/>
          <w:sz w:val="22"/>
          <w:szCs w:val="22"/>
        </w:rPr>
        <w:t>26 associations et regroupements d'associations de patients</w:t>
      </w:r>
      <w:r w:rsidRPr="00177793">
        <w:t xml:space="preserve"> </w:t>
      </w:r>
      <w:r w:rsidRPr="00177793">
        <w:rPr>
          <w:rFonts w:asciiTheme="minorHAnsi" w:hAnsiTheme="minorHAnsi" w:cstheme="minorHAnsi"/>
          <w:sz w:val="22"/>
          <w:szCs w:val="22"/>
        </w:rPr>
        <w:t>œuvrant principalement auprès de personnes souffrant de maladies chroniques</w:t>
      </w:r>
      <w:r w:rsidR="00211EAE" w:rsidRPr="00211EAE">
        <w:rPr>
          <w:rFonts w:asciiTheme="minorHAnsi" w:hAnsiTheme="minorHAnsi" w:cstheme="minorHAnsi"/>
          <w:sz w:val="22"/>
          <w:szCs w:val="22"/>
        </w:rPr>
        <w:t xml:space="preserve">. </w:t>
      </w:r>
    </w:p>
    <w:p w14:paraId="74A50144" w14:textId="74C5DCCA" w:rsidR="00F55A3B" w:rsidRPr="00211EAE" w:rsidRDefault="00177793" w:rsidP="00F55A3B">
      <w:pPr>
        <w:pStyle w:val="Paragraphedeliste"/>
        <w:numPr>
          <w:ilvl w:val="0"/>
          <w:numId w:val="1"/>
        </w:numPr>
        <w:spacing w:before="120" w:after="120" w:line="264" w:lineRule="auto"/>
        <w:jc w:val="both"/>
        <w:rPr>
          <w:rFonts w:asciiTheme="minorHAnsi" w:hAnsiTheme="minorHAnsi" w:cstheme="minorHAnsi"/>
          <w:sz w:val="22"/>
          <w:szCs w:val="22"/>
        </w:rPr>
      </w:pPr>
      <w:r w:rsidRPr="00177793">
        <w:rPr>
          <w:rFonts w:asciiTheme="minorHAnsi" w:hAnsiTheme="minorHAnsi" w:cstheme="minorHAnsi"/>
          <w:sz w:val="22"/>
          <w:szCs w:val="22"/>
          <w:u w:val="single"/>
        </w:rPr>
        <w:t>Financement</w:t>
      </w:r>
      <w:r>
        <w:rPr>
          <w:rFonts w:asciiTheme="minorHAnsi" w:hAnsiTheme="minorHAnsi" w:cstheme="minorHAnsi"/>
          <w:sz w:val="22"/>
          <w:szCs w:val="22"/>
        </w:rPr>
        <w:t xml:space="preserve"> : </w:t>
      </w:r>
      <w:r w:rsidR="00F55A3B" w:rsidRPr="00F55A3B">
        <w:rPr>
          <w:rFonts w:asciiTheme="minorHAnsi" w:hAnsiTheme="minorHAnsi" w:cstheme="minorHAnsi"/>
          <w:sz w:val="22"/>
          <w:szCs w:val="22"/>
        </w:rPr>
        <w:t>Les données financières de l’APS ne sont pas disponibles</w:t>
      </w:r>
      <w:r w:rsidR="00F55A3B">
        <w:rPr>
          <w:rFonts w:asciiTheme="minorHAnsi" w:hAnsiTheme="minorHAnsi" w:cstheme="minorHAnsi"/>
          <w:sz w:val="22"/>
          <w:szCs w:val="22"/>
        </w:rPr>
        <w:t xml:space="preserve">. </w:t>
      </w:r>
      <w:r w:rsidR="00F55A3B" w:rsidRPr="00211EAE">
        <w:rPr>
          <w:rFonts w:asciiTheme="minorHAnsi" w:hAnsiTheme="minorHAnsi" w:cstheme="minorHAnsi"/>
          <w:sz w:val="22"/>
          <w:szCs w:val="22"/>
        </w:rPr>
        <w:t>Certaines compagnies pharmaceutiques majeures sont des partenaires financiers de l’</w:t>
      </w:r>
      <w:hyperlink r:id="rId7" w:history="1">
        <w:r w:rsidR="00F55A3B" w:rsidRPr="00211EAE">
          <w:rPr>
            <w:rStyle w:val="Lienhypertexte"/>
            <w:rFonts w:asciiTheme="minorHAnsi" w:hAnsiTheme="minorHAnsi" w:cstheme="minorHAnsi"/>
            <w:sz w:val="22"/>
            <w:szCs w:val="22"/>
          </w:rPr>
          <w:t>APS</w:t>
        </w:r>
      </w:hyperlink>
      <w:r w:rsidR="00F55A3B" w:rsidRPr="00211EAE">
        <w:rPr>
          <w:rFonts w:asciiTheme="minorHAnsi" w:hAnsiTheme="minorHAnsi" w:cstheme="minorHAnsi"/>
          <w:sz w:val="22"/>
          <w:szCs w:val="22"/>
        </w:rPr>
        <w:t xml:space="preserve">. </w:t>
      </w:r>
    </w:p>
    <w:p w14:paraId="22789289" w14:textId="792E8729" w:rsidR="00211EAE" w:rsidRPr="00211EAE" w:rsidRDefault="00211EAE" w:rsidP="00F55A3B">
      <w:pPr>
        <w:pStyle w:val="Paragraphedeliste"/>
        <w:spacing w:before="120" w:after="120" w:line="264" w:lineRule="auto"/>
        <w:ind w:left="360"/>
        <w:jc w:val="both"/>
        <w:rPr>
          <w:rFonts w:asciiTheme="minorHAnsi" w:hAnsiTheme="minorHAnsi" w:cstheme="minorHAnsi"/>
          <w:sz w:val="22"/>
          <w:szCs w:val="22"/>
        </w:rPr>
      </w:pPr>
    </w:p>
    <w:p w14:paraId="6B4A866C" w14:textId="77777777" w:rsidR="00211EAE" w:rsidRPr="00211EAE" w:rsidRDefault="00211EAE" w:rsidP="00211EAE">
      <w:pPr>
        <w:pStyle w:val="Paragraphedeliste"/>
        <w:spacing w:before="120" w:after="120" w:line="264" w:lineRule="auto"/>
        <w:ind w:left="360"/>
        <w:jc w:val="both"/>
        <w:rPr>
          <w:rFonts w:asciiTheme="minorHAnsi" w:hAnsiTheme="minorHAnsi" w:cstheme="minorHAnsi"/>
          <w:sz w:val="22"/>
          <w:szCs w:val="22"/>
        </w:rPr>
      </w:pPr>
    </w:p>
    <w:p w14:paraId="034024C0" w14:textId="03605DD0" w:rsidR="00211EAE" w:rsidRPr="00211EAE" w:rsidRDefault="00211EAE" w:rsidP="00211EAE">
      <w:pPr>
        <w:spacing w:before="120" w:after="120" w:line="22" w:lineRule="atLeast"/>
        <w:jc w:val="both"/>
        <w:rPr>
          <w:rFonts w:cstheme="minorHAnsi"/>
          <w:b/>
          <w:bCs/>
        </w:rPr>
      </w:pPr>
      <w:r w:rsidRPr="00211EAE">
        <w:rPr>
          <w:rFonts w:cstheme="minorHAnsi"/>
          <w:b/>
          <w:bCs/>
        </w:rPr>
        <w:t>Subventions gouvernementales octroyées</w:t>
      </w:r>
      <w:r w:rsidR="00F55A3B">
        <w:rPr>
          <w:rFonts w:cstheme="minorHAnsi"/>
          <w:b/>
          <w:bCs/>
        </w:rPr>
        <w:t xml:space="preserve"> – RPCU et CPM (2022-2023)</w:t>
      </w:r>
    </w:p>
    <w:tbl>
      <w:tblPr>
        <w:tblW w:w="10499" w:type="dxa"/>
        <w:jc w:val="center"/>
        <w:tblLayout w:type="fixed"/>
        <w:tblCellMar>
          <w:left w:w="70" w:type="dxa"/>
          <w:right w:w="70" w:type="dxa"/>
        </w:tblCellMar>
        <w:tblLook w:val="04A0" w:firstRow="1" w:lastRow="0" w:firstColumn="1" w:lastColumn="0" w:noHBand="0" w:noVBand="1"/>
      </w:tblPr>
      <w:tblGrid>
        <w:gridCol w:w="7366"/>
        <w:gridCol w:w="1542"/>
        <w:gridCol w:w="1591"/>
      </w:tblGrid>
      <w:tr w:rsidR="00211EAE" w:rsidRPr="002E18F3" w14:paraId="5E8D654A" w14:textId="77777777" w:rsidTr="00166E36">
        <w:trPr>
          <w:trHeight w:val="26"/>
          <w:jc w:val="center"/>
        </w:trPr>
        <w:tc>
          <w:tcPr>
            <w:tcW w:w="7366" w:type="dxa"/>
            <w:tcBorders>
              <w:top w:val="nil"/>
              <w:left w:val="nil"/>
              <w:bottom w:val="nil"/>
              <w:right w:val="nil"/>
            </w:tcBorders>
            <w:shd w:val="clear" w:color="auto" w:fill="auto"/>
            <w:noWrap/>
            <w:vAlign w:val="center"/>
            <w:hideMark/>
          </w:tcPr>
          <w:p w14:paraId="45233BA5" w14:textId="77777777" w:rsidR="00211EAE" w:rsidRPr="002E18F3" w:rsidRDefault="00211EAE" w:rsidP="00166E36">
            <w:pPr>
              <w:spacing w:after="0"/>
              <w:ind w:left="-385" w:firstLine="385"/>
              <w:jc w:val="both"/>
            </w:pPr>
          </w:p>
        </w:tc>
        <w:tc>
          <w:tcPr>
            <w:tcW w:w="3133" w:type="dxa"/>
            <w:gridSpan w:val="2"/>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73B414C3" w14:textId="77777777" w:rsidR="00211EAE" w:rsidRPr="002E18F3" w:rsidRDefault="00211EAE" w:rsidP="00166E36">
            <w:pPr>
              <w:spacing w:after="0"/>
              <w:jc w:val="center"/>
              <w:rPr>
                <w:b/>
                <w:bCs/>
                <w:color w:val="000000"/>
                <w:highlight w:val="yellow"/>
              </w:rPr>
            </w:pPr>
            <w:r w:rsidRPr="002E18F3">
              <w:rPr>
                <w:b/>
                <w:bCs/>
                <w:color w:val="000000"/>
              </w:rPr>
              <w:t>2022</w:t>
            </w:r>
            <w:r w:rsidRPr="002E18F3">
              <w:rPr>
                <w:b/>
                <w:bCs/>
                <w:color w:val="000000"/>
              </w:rPr>
              <w:noBreakHyphen/>
              <w:t>2023</w:t>
            </w:r>
          </w:p>
        </w:tc>
      </w:tr>
      <w:tr w:rsidR="00166E36" w:rsidRPr="002E18F3" w14:paraId="3F7A81EE" w14:textId="77777777" w:rsidTr="00AC1324">
        <w:trPr>
          <w:trHeight w:val="144"/>
          <w:jc w:val="center"/>
        </w:trPr>
        <w:tc>
          <w:tcPr>
            <w:tcW w:w="7366" w:type="dxa"/>
            <w:tcBorders>
              <w:top w:val="single" w:sz="8" w:space="0" w:color="auto"/>
              <w:left w:val="single" w:sz="8" w:space="0" w:color="auto"/>
              <w:bottom w:val="single" w:sz="8" w:space="0" w:color="auto"/>
              <w:right w:val="nil"/>
            </w:tcBorders>
            <w:shd w:val="clear" w:color="000000" w:fill="DDEBF7"/>
            <w:noWrap/>
            <w:vAlign w:val="center"/>
            <w:hideMark/>
          </w:tcPr>
          <w:p w14:paraId="7173A9D0" w14:textId="77777777" w:rsidR="00211EAE" w:rsidRPr="002E18F3" w:rsidRDefault="00211EAE" w:rsidP="00166E36">
            <w:pPr>
              <w:spacing w:after="0"/>
              <w:jc w:val="both"/>
              <w:rPr>
                <w:b/>
                <w:bCs/>
                <w:color w:val="000000"/>
              </w:rPr>
            </w:pPr>
            <w:r w:rsidRPr="002E18F3">
              <w:rPr>
                <w:b/>
                <w:bCs/>
                <w:color w:val="000000"/>
              </w:rPr>
              <w:t>Subventions gouvernementales</w:t>
            </w:r>
          </w:p>
        </w:tc>
        <w:tc>
          <w:tcPr>
            <w:tcW w:w="1542" w:type="dxa"/>
            <w:tcBorders>
              <w:top w:val="nil"/>
              <w:left w:val="single" w:sz="8" w:space="0" w:color="auto"/>
              <w:bottom w:val="single" w:sz="12" w:space="0" w:color="auto"/>
              <w:right w:val="single" w:sz="8" w:space="0" w:color="auto"/>
            </w:tcBorders>
            <w:shd w:val="clear" w:color="000000" w:fill="DDEBF7"/>
            <w:noWrap/>
            <w:vAlign w:val="center"/>
            <w:hideMark/>
          </w:tcPr>
          <w:p w14:paraId="7D4679E9" w14:textId="77777777" w:rsidR="00211EAE" w:rsidRPr="002E18F3" w:rsidRDefault="00211EAE" w:rsidP="00166E36">
            <w:pPr>
              <w:spacing w:after="0"/>
              <w:jc w:val="center"/>
              <w:rPr>
                <w:b/>
                <w:bCs/>
                <w:color w:val="000000"/>
              </w:rPr>
            </w:pPr>
            <w:r w:rsidRPr="002E18F3">
              <w:rPr>
                <w:b/>
                <w:bCs/>
                <w:color w:val="000000"/>
              </w:rPr>
              <w:t>RPCU</w:t>
            </w:r>
          </w:p>
        </w:tc>
        <w:tc>
          <w:tcPr>
            <w:tcW w:w="1591" w:type="dxa"/>
            <w:tcBorders>
              <w:top w:val="nil"/>
              <w:left w:val="nil"/>
              <w:bottom w:val="single" w:sz="12" w:space="0" w:color="auto"/>
              <w:right w:val="single" w:sz="8" w:space="0" w:color="auto"/>
            </w:tcBorders>
            <w:shd w:val="clear" w:color="000000" w:fill="DDEBF7"/>
            <w:noWrap/>
            <w:vAlign w:val="center"/>
            <w:hideMark/>
          </w:tcPr>
          <w:p w14:paraId="13BFC879" w14:textId="77777777" w:rsidR="00211EAE" w:rsidRPr="002E18F3" w:rsidRDefault="00211EAE" w:rsidP="00166E36">
            <w:pPr>
              <w:spacing w:after="0"/>
              <w:jc w:val="center"/>
              <w:rPr>
                <w:b/>
                <w:bCs/>
                <w:color w:val="000000"/>
              </w:rPr>
            </w:pPr>
            <w:r w:rsidRPr="002E18F3">
              <w:rPr>
                <w:b/>
                <w:bCs/>
                <w:color w:val="000000"/>
              </w:rPr>
              <w:t>CPM</w:t>
            </w:r>
          </w:p>
        </w:tc>
      </w:tr>
      <w:tr w:rsidR="00166E36" w:rsidRPr="002E18F3" w14:paraId="16DED976" w14:textId="77777777" w:rsidTr="00AC1324">
        <w:trPr>
          <w:trHeight w:val="144"/>
          <w:jc w:val="center"/>
        </w:trPr>
        <w:tc>
          <w:tcPr>
            <w:tcW w:w="7366" w:type="dxa"/>
            <w:tcBorders>
              <w:top w:val="nil"/>
              <w:left w:val="single" w:sz="8" w:space="0" w:color="auto"/>
              <w:bottom w:val="single" w:sz="8" w:space="0" w:color="auto"/>
              <w:right w:val="single" w:sz="12" w:space="0" w:color="auto"/>
            </w:tcBorders>
            <w:shd w:val="clear" w:color="auto" w:fill="auto"/>
            <w:noWrap/>
            <w:vAlign w:val="center"/>
            <w:hideMark/>
          </w:tcPr>
          <w:p w14:paraId="59D7553C" w14:textId="77777777" w:rsidR="00211EAE" w:rsidRPr="002E18F3" w:rsidRDefault="00211EAE" w:rsidP="00166E36">
            <w:pPr>
              <w:spacing w:after="0"/>
              <w:rPr>
                <w:color w:val="000000"/>
              </w:rPr>
            </w:pPr>
            <w:r w:rsidRPr="002E18F3">
              <w:rPr>
                <w:color w:val="000000"/>
              </w:rPr>
              <w:t>MSSS – Entente de partenariat annuel pour l’offre d’une formation de base aux comités des usagers et des résidents (CU/CR), pour soutenir les activités des CU/CR dans leur mission et pour s’assurer de la collaboration du RPCU dans le cadre de travaux ministériels</w:t>
            </w:r>
          </w:p>
        </w:tc>
        <w:tc>
          <w:tcPr>
            <w:tcW w:w="154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4EDCD78" w14:textId="77777777" w:rsidR="00211EAE" w:rsidRPr="002E18F3" w:rsidRDefault="00211EAE" w:rsidP="005E5339">
            <w:pPr>
              <w:jc w:val="center"/>
              <w:rPr>
                <w:color w:val="000000"/>
              </w:rPr>
            </w:pPr>
            <w:r w:rsidRPr="002E18F3">
              <w:rPr>
                <w:color w:val="000000"/>
              </w:rPr>
              <w:t>500 000 $</w:t>
            </w:r>
          </w:p>
        </w:tc>
        <w:tc>
          <w:tcPr>
            <w:tcW w:w="1591"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1F032F0" w14:textId="77777777" w:rsidR="00211EAE" w:rsidRPr="002E18F3" w:rsidRDefault="00211EAE" w:rsidP="005E5339">
            <w:pPr>
              <w:jc w:val="center"/>
              <w:rPr>
                <w:color w:val="000000"/>
              </w:rPr>
            </w:pPr>
            <w:r w:rsidRPr="002E18F3">
              <w:rPr>
                <w:color w:val="000000"/>
              </w:rPr>
              <w:t>-</w:t>
            </w:r>
          </w:p>
        </w:tc>
      </w:tr>
      <w:tr w:rsidR="00166E36" w:rsidRPr="002E18F3" w14:paraId="26A0F312" w14:textId="77777777" w:rsidTr="00AC1324">
        <w:trPr>
          <w:trHeight w:val="144"/>
          <w:jc w:val="center"/>
        </w:trPr>
        <w:tc>
          <w:tcPr>
            <w:tcW w:w="7366" w:type="dxa"/>
            <w:tcBorders>
              <w:top w:val="nil"/>
              <w:left w:val="single" w:sz="8" w:space="0" w:color="auto"/>
              <w:bottom w:val="single" w:sz="8" w:space="0" w:color="auto"/>
              <w:right w:val="single" w:sz="12" w:space="0" w:color="auto"/>
            </w:tcBorders>
            <w:shd w:val="clear" w:color="auto" w:fill="auto"/>
            <w:noWrap/>
            <w:vAlign w:val="center"/>
            <w:hideMark/>
          </w:tcPr>
          <w:p w14:paraId="6B36D24A" w14:textId="77777777" w:rsidR="00211EAE" w:rsidRPr="002E18F3" w:rsidRDefault="00211EAE" w:rsidP="00166E36">
            <w:pPr>
              <w:spacing w:after="0"/>
              <w:rPr>
                <w:color w:val="000000"/>
              </w:rPr>
            </w:pPr>
            <w:r w:rsidRPr="002E18F3">
              <w:rPr>
                <w:color w:val="000000"/>
              </w:rPr>
              <w:t>MSSS – Secrétariat aux aînés (Projet QADA-Bientraitance pers. ainées)</w:t>
            </w:r>
          </w:p>
        </w:tc>
        <w:tc>
          <w:tcPr>
            <w:tcW w:w="154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12E4703" w14:textId="77777777" w:rsidR="00211EAE" w:rsidRPr="002E18F3" w:rsidRDefault="00211EAE" w:rsidP="005E5339">
            <w:pPr>
              <w:jc w:val="center"/>
              <w:rPr>
                <w:color w:val="000000"/>
              </w:rPr>
            </w:pPr>
            <w:r w:rsidRPr="002E18F3">
              <w:rPr>
                <w:color w:val="000000"/>
              </w:rPr>
              <w:t>24 528 $</w:t>
            </w:r>
          </w:p>
        </w:tc>
        <w:tc>
          <w:tcPr>
            <w:tcW w:w="1591"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76707BE" w14:textId="77777777" w:rsidR="00211EAE" w:rsidRPr="002E18F3" w:rsidRDefault="00211EAE" w:rsidP="005E5339">
            <w:pPr>
              <w:jc w:val="center"/>
              <w:rPr>
                <w:color w:val="000000"/>
              </w:rPr>
            </w:pPr>
            <w:r w:rsidRPr="002E18F3">
              <w:rPr>
                <w:color w:val="000000"/>
              </w:rPr>
              <w:t>- $</w:t>
            </w:r>
          </w:p>
        </w:tc>
      </w:tr>
      <w:tr w:rsidR="00166E36" w:rsidRPr="002E18F3" w14:paraId="18DB708D" w14:textId="77777777" w:rsidTr="00AC1324">
        <w:trPr>
          <w:trHeight w:val="144"/>
          <w:jc w:val="center"/>
        </w:trPr>
        <w:tc>
          <w:tcPr>
            <w:tcW w:w="7366" w:type="dxa"/>
            <w:tcBorders>
              <w:top w:val="nil"/>
              <w:left w:val="single" w:sz="8" w:space="0" w:color="auto"/>
              <w:bottom w:val="single" w:sz="8" w:space="0" w:color="auto"/>
              <w:right w:val="single" w:sz="12" w:space="0" w:color="auto"/>
            </w:tcBorders>
            <w:shd w:val="clear" w:color="auto" w:fill="auto"/>
            <w:noWrap/>
            <w:vAlign w:val="center"/>
            <w:hideMark/>
          </w:tcPr>
          <w:p w14:paraId="0799B45D" w14:textId="77777777" w:rsidR="00211EAE" w:rsidRPr="002E18F3" w:rsidRDefault="00211EAE" w:rsidP="00166E36">
            <w:pPr>
              <w:spacing w:after="0"/>
              <w:rPr>
                <w:color w:val="000000"/>
              </w:rPr>
            </w:pPr>
            <w:r w:rsidRPr="002E18F3">
              <w:rPr>
                <w:color w:val="000000"/>
              </w:rPr>
              <w:t>MSSS – Octroi (marge ministérielle normée)</w:t>
            </w:r>
          </w:p>
        </w:tc>
        <w:tc>
          <w:tcPr>
            <w:tcW w:w="154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EA8F774" w14:textId="77777777" w:rsidR="00211EAE" w:rsidRPr="002E18F3" w:rsidRDefault="00211EAE" w:rsidP="005E5339">
            <w:pPr>
              <w:jc w:val="center"/>
              <w:rPr>
                <w:color w:val="000000"/>
              </w:rPr>
            </w:pPr>
            <w:r w:rsidRPr="002E18F3">
              <w:rPr>
                <w:color w:val="000000"/>
              </w:rPr>
              <w:t>- $</w:t>
            </w:r>
          </w:p>
        </w:tc>
        <w:tc>
          <w:tcPr>
            <w:tcW w:w="1591"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329E24D" w14:textId="77777777" w:rsidR="00211EAE" w:rsidRPr="002E18F3" w:rsidRDefault="00211EAE" w:rsidP="005E5339">
            <w:pPr>
              <w:jc w:val="center"/>
              <w:rPr>
                <w:color w:val="000000"/>
              </w:rPr>
            </w:pPr>
            <w:r w:rsidRPr="002E18F3">
              <w:rPr>
                <w:color w:val="000000"/>
              </w:rPr>
              <w:t>50 000 $</w:t>
            </w:r>
          </w:p>
        </w:tc>
      </w:tr>
      <w:tr w:rsidR="00166E36" w:rsidRPr="002E18F3" w14:paraId="47EFCD33" w14:textId="77777777" w:rsidTr="00AC1324">
        <w:trPr>
          <w:trHeight w:val="144"/>
          <w:jc w:val="center"/>
        </w:trPr>
        <w:tc>
          <w:tcPr>
            <w:tcW w:w="7366" w:type="dxa"/>
            <w:tcBorders>
              <w:top w:val="nil"/>
              <w:left w:val="single" w:sz="8" w:space="0" w:color="auto"/>
              <w:bottom w:val="single" w:sz="8" w:space="0" w:color="auto"/>
              <w:right w:val="single" w:sz="12" w:space="0" w:color="auto"/>
            </w:tcBorders>
            <w:shd w:val="clear" w:color="auto" w:fill="auto"/>
            <w:noWrap/>
            <w:vAlign w:val="center"/>
            <w:hideMark/>
          </w:tcPr>
          <w:p w14:paraId="35799D20" w14:textId="77777777" w:rsidR="00211EAE" w:rsidRPr="002E18F3" w:rsidRDefault="00211EAE" w:rsidP="00166E36">
            <w:pPr>
              <w:spacing w:after="0"/>
              <w:rPr>
                <w:color w:val="000000"/>
              </w:rPr>
            </w:pPr>
            <w:r w:rsidRPr="002E18F3">
              <w:rPr>
                <w:color w:val="000000"/>
              </w:rPr>
              <w:t>Budgets discrétionnaires des ministres</w:t>
            </w:r>
          </w:p>
        </w:tc>
        <w:tc>
          <w:tcPr>
            <w:tcW w:w="154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58DAE8B" w14:textId="77777777" w:rsidR="00211EAE" w:rsidRPr="002E18F3" w:rsidRDefault="00211EAE" w:rsidP="005E5339">
            <w:pPr>
              <w:jc w:val="center"/>
              <w:rPr>
                <w:color w:val="000000"/>
              </w:rPr>
            </w:pPr>
            <w:r w:rsidRPr="002E18F3">
              <w:rPr>
                <w:color w:val="000000"/>
              </w:rPr>
              <w:t>N. D.</w:t>
            </w:r>
          </w:p>
        </w:tc>
        <w:tc>
          <w:tcPr>
            <w:tcW w:w="1591"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76DBCC5" w14:textId="77777777" w:rsidR="00211EAE" w:rsidRPr="002E18F3" w:rsidRDefault="00211EAE" w:rsidP="005E5339">
            <w:pPr>
              <w:jc w:val="center"/>
              <w:rPr>
                <w:color w:val="000000"/>
              </w:rPr>
            </w:pPr>
            <w:r w:rsidRPr="002E18F3">
              <w:rPr>
                <w:color w:val="000000"/>
              </w:rPr>
              <w:t>N. D.</w:t>
            </w:r>
          </w:p>
        </w:tc>
      </w:tr>
      <w:tr w:rsidR="00166E36" w:rsidRPr="002E18F3" w14:paraId="5DEA2280" w14:textId="77777777" w:rsidTr="00AC1324">
        <w:trPr>
          <w:trHeight w:val="144"/>
          <w:jc w:val="center"/>
        </w:trPr>
        <w:tc>
          <w:tcPr>
            <w:tcW w:w="7366" w:type="dxa"/>
            <w:tcBorders>
              <w:top w:val="nil"/>
              <w:left w:val="single" w:sz="8" w:space="0" w:color="auto"/>
              <w:bottom w:val="single" w:sz="8" w:space="0" w:color="auto"/>
              <w:right w:val="single" w:sz="12" w:space="0" w:color="auto"/>
            </w:tcBorders>
            <w:shd w:val="clear" w:color="auto" w:fill="auto"/>
            <w:noWrap/>
            <w:vAlign w:val="center"/>
          </w:tcPr>
          <w:p w14:paraId="559FEC47" w14:textId="77777777" w:rsidR="00211EAE" w:rsidRPr="002E18F3" w:rsidRDefault="00211EAE" w:rsidP="00166E36">
            <w:pPr>
              <w:spacing w:after="0"/>
              <w:rPr>
                <w:color w:val="000000"/>
              </w:rPr>
            </w:pPr>
            <w:r w:rsidRPr="002E18F3">
              <w:rPr>
                <w:color w:val="000000"/>
              </w:rPr>
              <w:t>MSSS – Programme de soutien aux organismes communautaires (PSOC) – Soutien à la mission</w:t>
            </w:r>
          </w:p>
        </w:tc>
        <w:tc>
          <w:tcPr>
            <w:tcW w:w="1542"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33835F5" w14:textId="77777777" w:rsidR="00211EAE" w:rsidRPr="002E18F3" w:rsidRDefault="00211EAE" w:rsidP="005E5339">
            <w:pPr>
              <w:jc w:val="center"/>
              <w:rPr>
                <w:color w:val="000000"/>
              </w:rPr>
            </w:pPr>
            <w:r w:rsidRPr="002E18F3">
              <w:rPr>
                <w:color w:val="000000"/>
              </w:rPr>
              <w:t>Non admissible</w:t>
            </w:r>
          </w:p>
        </w:tc>
        <w:tc>
          <w:tcPr>
            <w:tcW w:w="1591"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E7AF3DC" w14:textId="77777777" w:rsidR="00211EAE" w:rsidRPr="002E18F3" w:rsidRDefault="00211EAE" w:rsidP="005E5339">
            <w:pPr>
              <w:jc w:val="center"/>
              <w:rPr>
                <w:color w:val="000000"/>
              </w:rPr>
            </w:pPr>
            <w:r w:rsidRPr="002E18F3">
              <w:rPr>
                <w:color w:val="000000"/>
              </w:rPr>
              <w:t>Non admissible</w:t>
            </w:r>
          </w:p>
        </w:tc>
      </w:tr>
      <w:tr w:rsidR="00166E36" w:rsidRPr="002E18F3" w14:paraId="1BF938BD" w14:textId="77777777" w:rsidTr="00AC1324">
        <w:trPr>
          <w:trHeight w:val="144"/>
          <w:jc w:val="center"/>
        </w:trPr>
        <w:tc>
          <w:tcPr>
            <w:tcW w:w="7366" w:type="dxa"/>
            <w:tcBorders>
              <w:top w:val="nil"/>
              <w:left w:val="single" w:sz="8" w:space="0" w:color="auto"/>
              <w:bottom w:val="single" w:sz="8" w:space="0" w:color="auto"/>
              <w:right w:val="single" w:sz="12" w:space="0" w:color="auto"/>
            </w:tcBorders>
            <w:shd w:val="clear" w:color="auto" w:fill="auto"/>
            <w:noWrap/>
            <w:vAlign w:val="center"/>
            <w:hideMark/>
          </w:tcPr>
          <w:p w14:paraId="7A3A71B2" w14:textId="77777777" w:rsidR="00211EAE" w:rsidRPr="009A1476" w:rsidRDefault="00211EAE" w:rsidP="00166E36">
            <w:pPr>
              <w:spacing w:after="0"/>
            </w:pPr>
            <w:r w:rsidRPr="009A1476">
              <w:t>MTESS – Secrétariat à l’action communautaire autonome et aux initiatives sociales (SACAIS) – Soutien à la mission (</w:t>
            </w:r>
            <w:r w:rsidRPr="009A1476">
              <w:rPr>
                <w:b/>
                <w:bCs/>
              </w:rPr>
              <w:t>2021</w:t>
            </w:r>
            <w:r w:rsidRPr="009A1476">
              <w:rPr>
                <w:b/>
                <w:bCs/>
              </w:rPr>
              <w:noBreakHyphen/>
              <w:t>2022)</w:t>
            </w:r>
          </w:p>
        </w:tc>
        <w:tc>
          <w:tcPr>
            <w:tcW w:w="154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F28BAC4" w14:textId="77777777" w:rsidR="00211EAE" w:rsidRPr="009A1476" w:rsidRDefault="00211EAE" w:rsidP="005E5339">
            <w:pPr>
              <w:jc w:val="center"/>
            </w:pPr>
            <w:r w:rsidRPr="009A1476">
              <w:t>Non admissible</w:t>
            </w:r>
          </w:p>
        </w:tc>
        <w:tc>
          <w:tcPr>
            <w:tcW w:w="1591"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891C9D8" w14:textId="77777777" w:rsidR="00211EAE" w:rsidRPr="009A1476" w:rsidRDefault="00211EAE" w:rsidP="005E5339">
            <w:pPr>
              <w:jc w:val="center"/>
            </w:pPr>
            <w:r w:rsidRPr="009A1476">
              <w:t>129 186 $</w:t>
            </w:r>
          </w:p>
        </w:tc>
      </w:tr>
      <w:tr w:rsidR="00166E36" w:rsidRPr="002E18F3" w14:paraId="6386D3AF" w14:textId="77777777" w:rsidTr="00AC1324">
        <w:trPr>
          <w:trHeight w:val="144"/>
          <w:jc w:val="center"/>
        </w:trPr>
        <w:tc>
          <w:tcPr>
            <w:tcW w:w="7366" w:type="dxa"/>
            <w:tcBorders>
              <w:top w:val="nil"/>
              <w:left w:val="single" w:sz="8" w:space="0" w:color="auto"/>
              <w:bottom w:val="single" w:sz="8" w:space="0" w:color="auto"/>
              <w:right w:val="nil"/>
            </w:tcBorders>
            <w:shd w:val="clear" w:color="000000" w:fill="DDEBF7"/>
            <w:noWrap/>
            <w:vAlign w:val="center"/>
            <w:hideMark/>
          </w:tcPr>
          <w:p w14:paraId="43027943" w14:textId="77777777" w:rsidR="00211EAE" w:rsidRPr="002E18F3" w:rsidRDefault="00211EAE" w:rsidP="005E5339">
            <w:pPr>
              <w:jc w:val="both"/>
              <w:rPr>
                <w:b/>
                <w:bCs/>
                <w:color w:val="000000"/>
              </w:rPr>
            </w:pPr>
            <w:r w:rsidRPr="002E18F3">
              <w:rPr>
                <w:b/>
                <w:bCs/>
                <w:color w:val="000000"/>
              </w:rPr>
              <w:t xml:space="preserve">Total </w:t>
            </w:r>
          </w:p>
        </w:tc>
        <w:tc>
          <w:tcPr>
            <w:tcW w:w="1542" w:type="dxa"/>
            <w:tcBorders>
              <w:top w:val="single" w:sz="12" w:space="0" w:color="auto"/>
              <w:left w:val="single" w:sz="8" w:space="0" w:color="auto"/>
              <w:bottom w:val="single" w:sz="8" w:space="0" w:color="auto"/>
              <w:right w:val="single" w:sz="8" w:space="0" w:color="auto"/>
            </w:tcBorders>
            <w:shd w:val="clear" w:color="000000" w:fill="DDEBF7"/>
            <w:noWrap/>
            <w:vAlign w:val="center"/>
            <w:hideMark/>
          </w:tcPr>
          <w:p w14:paraId="50F2C792" w14:textId="77777777" w:rsidR="00211EAE" w:rsidRPr="002E18F3" w:rsidRDefault="00211EAE" w:rsidP="005E5339">
            <w:pPr>
              <w:jc w:val="center"/>
              <w:rPr>
                <w:b/>
                <w:bCs/>
                <w:color w:val="000000"/>
              </w:rPr>
            </w:pPr>
            <w:r w:rsidRPr="002E18F3">
              <w:rPr>
                <w:b/>
                <w:bCs/>
                <w:color w:val="000000"/>
              </w:rPr>
              <w:t>524 528 $</w:t>
            </w:r>
          </w:p>
        </w:tc>
        <w:tc>
          <w:tcPr>
            <w:tcW w:w="1591" w:type="dxa"/>
            <w:tcBorders>
              <w:top w:val="single" w:sz="12" w:space="0" w:color="auto"/>
              <w:left w:val="nil"/>
              <w:bottom w:val="single" w:sz="8" w:space="0" w:color="auto"/>
              <w:right w:val="single" w:sz="8" w:space="0" w:color="auto"/>
            </w:tcBorders>
            <w:shd w:val="clear" w:color="000000" w:fill="DDEBF7"/>
            <w:noWrap/>
            <w:vAlign w:val="center"/>
            <w:hideMark/>
          </w:tcPr>
          <w:p w14:paraId="0CDF09C7" w14:textId="77777777" w:rsidR="00211EAE" w:rsidRPr="002E18F3" w:rsidRDefault="00211EAE" w:rsidP="005E5339">
            <w:pPr>
              <w:jc w:val="center"/>
              <w:rPr>
                <w:b/>
                <w:bCs/>
                <w:color w:val="000000"/>
              </w:rPr>
            </w:pPr>
            <w:r w:rsidRPr="002E18F3">
              <w:rPr>
                <w:b/>
                <w:bCs/>
              </w:rPr>
              <w:t>179 186 $</w:t>
            </w:r>
          </w:p>
        </w:tc>
      </w:tr>
    </w:tbl>
    <w:p w14:paraId="29771882" w14:textId="77777777" w:rsidR="009A1476" w:rsidRDefault="009A1476" w:rsidP="009A1476">
      <w:pPr>
        <w:spacing w:before="120" w:after="120" w:line="264" w:lineRule="auto"/>
        <w:jc w:val="both"/>
        <w:rPr>
          <w:rFonts w:cstheme="minorHAnsi"/>
          <w:u w:val="single"/>
        </w:rPr>
      </w:pPr>
    </w:p>
    <w:p w14:paraId="678B0A7A" w14:textId="7B0FD54E" w:rsidR="00AC1324" w:rsidRPr="009A1476" w:rsidRDefault="00211EAE" w:rsidP="009A1476">
      <w:pPr>
        <w:spacing w:before="120" w:after="120" w:line="264" w:lineRule="auto"/>
        <w:jc w:val="both"/>
        <w:rPr>
          <w:rFonts w:cstheme="minorHAnsi"/>
        </w:rPr>
      </w:pPr>
      <w:r w:rsidRPr="009A1476">
        <w:rPr>
          <w:rFonts w:cstheme="minorHAnsi"/>
        </w:rPr>
        <w:t>Le RPCU, le CPM participe également aux visites ministérielles d’appréciation de la qualité des milieux de vie dans les établissements. Ces derniers sont rémunérés en conséquence ; Aucun octroi financier n’a été octroyé au cours de l’exercice 2022-2023.</w:t>
      </w:r>
    </w:p>
    <w:p w14:paraId="6FA027FD" w14:textId="77777777" w:rsidR="00AC1324" w:rsidRDefault="00AC1324">
      <w:pPr>
        <w:rPr>
          <w:rFonts w:ascii="Times New Roman" w:eastAsia="Times New Roman" w:hAnsi="Times New Roman" w:cs="Times New Roman"/>
          <w:sz w:val="24"/>
          <w:szCs w:val="24"/>
          <w:lang w:val="fr-FR" w:eastAsia="fr-CA"/>
        </w:rPr>
      </w:pPr>
      <w:r>
        <w:br w:type="page"/>
      </w:r>
    </w:p>
    <w:p w14:paraId="76AC53BB" w14:textId="77777777" w:rsidR="00D43E19" w:rsidRDefault="00211EAE" w:rsidP="00D43E19">
      <w:pPr>
        <w:spacing w:after="0"/>
        <w:rPr>
          <w:b/>
          <w:bCs/>
        </w:rPr>
      </w:pPr>
      <w:r w:rsidRPr="00211EAE">
        <w:rPr>
          <w:b/>
          <w:bCs/>
        </w:rPr>
        <w:lastRenderedPageBreak/>
        <w:t xml:space="preserve">Frais d’adhésion </w:t>
      </w:r>
      <w:r>
        <w:rPr>
          <w:b/>
          <w:bCs/>
        </w:rPr>
        <w:t xml:space="preserve">annuels </w:t>
      </w:r>
      <w:r w:rsidRPr="00211EAE">
        <w:rPr>
          <w:b/>
          <w:bCs/>
        </w:rPr>
        <w:t>des CU/CR aux regroupements</w:t>
      </w:r>
      <w:r w:rsidR="00166E36">
        <w:rPr>
          <w:b/>
          <w:bCs/>
        </w:rPr>
        <w:t xml:space="preserve"> </w:t>
      </w:r>
    </w:p>
    <w:p w14:paraId="3614445A" w14:textId="3E91B3D2" w:rsidR="00211EAE" w:rsidRDefault="00166E36" w:rsidP="00D43E19">
      <w:pPr>
        <w:spacing w:after="120"/>
        <w:rPr>
          <w:b/>
          <w:bCs/>
        </w:rPr>
      </w:pPr>
      <w:r w:rsidRPr="00166E36">
        <w:t>(</w:t>
      </w:r>
      <w:r>
        <w:t>Cotisation p</w:t>
      </w:r>
      <w:r w:rsidRPr="00166E36">
        <w:t>ar catégorie de membre</w:t>
      </w:r>
      <w:r w:rsidR="00D43E19">
        <w:t xml:space="preserve"> en 2023-2024</w:t>
      </w:r>
      <w:r w:rsidRPr="00166E36">
        <w:t>)</w:t>
      </w:r>
      <w:r w:rsidR="00211EAE" w:rsidRPr="00211EAE">
        <w:rPr>
          <w:b/>
          <w:bCs/>
        </w:rPr>
        <w:t> :</w:t>
      </w:r>
    </w:p>
    <w:tbl>
      <w:tblPr>
        <w:tblStyle w:val="Grilledutableau"/>
        <w:tblW w:w="10491" w:type="dxa"/>
        <w:tblInd w:w="-714" w:type="dxa"/>
        <w:tblLook w:val="04A0" w:firstRow="1" w:lastRow="0" w:firstColumn="1" w:lastColumn="0" w:noHBand="0" w:noVBand="1"/>
      </w:tblPr>
      <w:tblGrid>
        <w:gridCol w:w="4944"/>
        <w:gridCol w:w="5547"/>
      </w:tblGrid>
      <w:tr w:rsidR="00506950" w14:paraId="5B609363" w14:textId="77777777" w:rsidTr="00324F58">
        <w:trPr>
          <w:trHeight w:val="270"/>
        </w:trPr>
        <w:tc>
          <w:tcPr>
            <w:tcW w:w="4944" w:type="dxa"/>
            <w:shd w:val="clear" w:color="auto" w:fill="DEEAF6" w:themeFill="accent5" w:themeFillTint="33"/>
          </w:tcPr>
          <w:p w14:paraId="22D29224" w14:textId="59E153D4" w:rsidR="00211EAE" w:rsidRDefault="00211EAE" w:rsidP="00211EAE">
            <w:pPr>
              <w:jc w:val="center"/>
              <w:rPr>
                <w:b/>
                <w:bCs/>
              </w:rPr>
            </w:pPr>
            <w:r>
              <w:rPr>
                <w:b/>
                <w:bCs/>
              </w:rPr>
              <w:t>RPCU</w:t>
            </w:r>
          </w:p>
        </w:tc>
        <w:tc>
          <w:tcPr>
            <w:tcW w:w="5547" w:type="dxa"/>
            <w:shd w:val="clear" w:color="auto" w:fill="DEEAF6" w:themeFill="accent5" w:themeFillTint="33"/>
          </w:tcPr>
          <w:p w14:paraId="033D227C" w14:textId="776E848A" w:rsidR="00211EAE" w:rsidRDefault="00211EAE" w:rsidP="00211EAE">
            <w:pPr>
              <w:jc w:val="center"/>
              <w:rPr>
                <w:b/>
                <w:bCs/>
              </w:rPr>
            </w:pPr>
            <w:r>
              <w:rPr>
                <w:b/>
                <w:bCs/>
              </w:rPr>
              <w:t>CPM</w:t>
            </w:r>
          </w:p>
        </w:tc>
      </w:tr>
      <w:tr w:rsidR="00506950" w14:paraId="28706E6A" w14:textId="77777777" w:rsidTr="000B211E">
        <w:trPr>
          <w:trHeight w:val="2289"/>
        </w:trPr>
        <w:tc>
          <w:tcPr>
            <w:tcW w:w="4944" w:type="dxa"/>
            <w:vAlign w:val="center"/>
          </w:tcPr>
          <w:p w14:paraId="17E89B3C" w14:textId="5198140E" w:rsidR="00506950" w:rsidRDefault="00506950">
            <w:pPr>
              <w:rPr>
                <w:b/>
                <w:bCs/>
              </w:rPr>
            </w:pPr>
          </w:p>
          <w:p w14:paraId="52462CF5" w14:textId="4C265087" w:rsidR="00506950" w:rsidRPr="00506950" w:rsidRDefault="00506950" w:rsidP="00506950">
            <w:pPr>
              <w:pStyle w:val="Paragraphedeliste"/>
              <w:numPr>
                <w:ilvl w:val="0"/>
                <w:numId w:val="3"/>
              </w:numPr>
              <w:ind w:left="284" w:hanging="284"/>
              <w:rPr>
                <w:sz w:val="22"/>
                <w:szCs w:val="22"/>
              </w:rPr>
            </w:pPr>
            <w:r w:rsidRPr="00506950">
              <w:rPr>
                <w:sz w:val="22"/>
                <w:szCs w:val="22"/>
              </w:rPr>
              <w:t>325 $ - Droits de base pour 1 CU</w:t>
            </w:r>
          </w:p>
          <w:p w14:paraId="000297C5" w14:textId="7B7418D6" w:rsidR="00506950" w:rsidRPr="00506950" w:rsidRDefault="00506950" w:rsidP="00506950">
            <w:pPr>
              <w:pStyle w:val="Paragraphedeliste"/>
              <w:numPr>
                <w:ilvl w:val="0"/>
                <w:numId w:val="3"/>
              </w:numPr>
              <w:ind w:left="284" w:hanging="284"/>
              <w:rPr>
                <w:sz w:val="22"/>
                <w:szCs w:val="22"/>
              </w:rPr>
            </w:pPr>
            <w:r w:rsidRPr="00506950">
              <w:rPr>
                <w:sz w:val="22"/>
                <w:szCs w:val="22"/>
              </w:rPr>
              <w:t>385 $ - CU avec un CR</w:t>
            </w:r>
          </w:p>
          <w:p w14:paraId="3FA1C707" w14:textId="06762BA2" w:rsidR="00506950" w:rsidRPr="00506950" w:rsidRDefault="00506950" w:rsidP="00506950">
            <w:pPr>
              <w:pStyle w:val="Paragraphedeliste"/>
              <w:numPr>
                <w:ilvl w:val="0"/>
                <w:numId w:val="3"/>
              </w:numPr>
              <w:ind w:left="284" w:hanging="284"/>
              <w:rPr>
                <w:sz w:val="22"/>
                <w:szCs w:val="22"/>
              </w:rPr>
            </w:pPr>
            <w:r w:rsidRPr="00506950">
              <w:rPr>
                <w:sz w:val="22"/>
                <w:szCs w:val="22"/>
              </w:rPr>
              <w:t>445 $ - CU avec 2 CR</w:t>
            </w:r>
          </w:p>
          <w:p w14:paraId="3CB0B103" w14:textId="26150FE4" w:rsidR="00506950" w:rsidRPr="00506950" w:rsidRDefault="00506950" w:rsidP="00506950">
            <w:pPr>
              <w:pStyle w:val="Paragraphedeliste"/>
              <w:numPr>
                <w:ilvl w:val="0"/>
                <w:numId w:val="3"/>
              </w:numPr>
              <w:ind w:left="284" w:hanging="284"/>
              <w:rPr>
                <w:sz w:val="22"/>
                <w:szCs w:val="22"/>
              </w:rPr>
            </w:pPr>
            <w:r w:rsidRPr="00506950">
              <w:rPr>
                <w:sz w:val="22"/>
                <w:szCs w:val="22"/>
              </w:rPr>
              <w:t>505 $ - CU avec 3 CR</w:t>
            </w:r>
          </w:p>
          <w:p w14:paraId="4AAA5634" w14:textId="1F494378" w:rsidR="00506950" w:rsidRPr="00506950" w:rsidRDefault="00506950" w:rsidP="00506950">
            <w:pPr>
              <w:pStyle w:val="Paragraphedeliste"/>
              <w:numPr>
                <w:ilvl w:val="0"/>
                <w:numId w:val="3"/>
              </w:numPr>
              <w:ind w:left="284" w:hanging="284"/>
              <w:rPr>
                <w:sz w:val="22"/>
                <w:szCs w:val="22"/>
              </w:rPr>
            </w:pPr>
            <w:r w:rsidRPr="00506950">
              <w:rPr>
                <w:sz w:val="22"/>
                <w:szCs w:val="22"/>
              </w:rPr>
              <w:t>565 $ - CU avec 4, 5 ou 6 CR</w:t>
            </w:r>
          </w:p>
          <w:p w14:paraId="7421E56A" w14:textId="6DC91CEC" w:rsidR="00506950" w:rsidRPr="00506950" w:rsidRDefault="00506950" w:rsidP="00506950">
            <w:pPr>
              <w:pStyle w:val="Paragraphedeliste"/>
              <w:numPr>
                <w:ilvl w:val="0"/>
                <w:numId w:val="3"/>
              </w:numPr>
              <w:ind w:left="284" w:hanging="284"/>
              <w:rPr>
                <w:sz w:val="22"/>
                <w:szCs w:val="22"/>
              </w:rPr>
            </w:pPr>
            <w:r w:rsidRPr="00506950">
              <w:rPr>
                <w:sz w:val="22"/>
                <w:szCs w:val="22"/>
              </w:rPr>
              <w:t>625 $ - CU avec 7 CR et plus</w:t>
            </w:r>
          </w:p>
          <w:p w14:paraId="52BE983D" w14:textId="2AF005D7" w:rsidR="00506950" w:rsidRDefault="00506950" w:rsidP="00506950">
            <w:pPr>
              <w:pStyle w:val="Paragraphedeliste"/>
              <w:numPr>
                <w:ilvl w:val="0"/>
                <w:numId w:val="3"/>
              </w:numPr>
              <w:ind w:left="284" w:hanging="284"/>
              <w:rPr>
                <w:sz w:val="22"/>
                <w:szCs w:val="22"/>
              </w:rPr>
            </w:pPr>
            <w:r w:rsidRPr="00506950">
              <w:rPr>
                <w:sz w:val="22"/>
                <w:szCs w:val="22"/>
              </w:rPr>
              <w:t>550 $ - CU d’établissements non-fusionnés</w:t>
            </w:r>
          </w:p>
          <w:p w14:paraId="125F6D1B" w14:textId="77777777" w:rsidR="00506950" w:rsidRDefault="00506950" w:rsidP="00166E36">
            <w:pPr>
              <w:pStyle w:val="Paragraphedeliste"/>
              <w:numPr>
                <w:ilvl w:val="0"/>
                <w:numId w:val="3"/>
              </w:numPr>
              <w:ind w:left="284" w:hanging="284"/>
              <w:rPr>
                <w:sz w:val="22"/>
                <w:szCs w:val="22"/>
              </w:rPr>
            </w:pPr>
            <w:r>
              <w:rPr>
                <w:sz w:val="22"/>
                <w:szCs w:val="22"/>
              </w:rPr>
              <w:t xml:space="preserve">  </w:t>
            </w:r>
            <w:r w:rsidRPr="00506950">
              <w:rPr>
                <w:sz w:val="22"/>
                <w:szCs w:val="22"/>
              </w:rPr>
              <w:t>0 $   - CR dont les droits sont payés par le CU</w:t>
            </w:r>
          </w:p>
          <w:p w14:paraId="42E3F3FE" w14:textId="17BB9568" w:rsidR="00D265C9" w:rsidRPr="000B211E" w:rsidRDefault="00D265C9" w:rsidP="00D265C9">
            <w:pPr>
              <w:pStyle w:val="Paragraphedeliste"/>
              <w:ind w:left="284"/>
              <w:rPr>
                <w:sz w:val="16"/>
                <w:szCs w:val="16"/>
              </w:rPr>
            </w:pPr>
          </w:p>
        </w:tc>
        <w:tc>
          <w:tcPr>
            <w:tcW w:w="5547" w:type="dxa"/>
            <w:vAlign w:val="center"/>
          </w:tcPr>
          <w:p w14:paraId="7F76E1BB" w14:textId="46D09415" w:rsidR="00506950" w:rsidRPr="00166E36" w:rsidRDefault="00506950" w:rsidP="00166E36">
            <w:pPr>
              <w:pStyle w:val="Paragraphedeliste"/>
              <w:numPr>
                <w:ilvl w:val="0"/>
                <w:numId w:val="4"/>
              </w:numPr>
              <w:ind w:left="321" w:right="-116" w:hanging="284"/>
              <w:rPr>
                <w:sz w:val="22"/>
                <w:szCs w:val="22"/>
              </w:rPr>
            </w:pPr>
            <w:r w:rsidRPr="00166E36">
              <w:rPr>
                <w:sz w:val="22"/>
                <w:szCs w:val="22"/>
              </w:rPr>
              <w:t xml:space="preserve">325 $ - Droits de base pour 1 CU </w:t>
            </w:r>
            <w:r w:rsidRPr="00166E36">
              <w:t xml:space="preserve">+ </w:t>
            </w:r>
            <w:r w:rsidR="00166E36" w:rsidRPr="00166E36">
              <w:t xml:space="preserve">100$ pour chaque CR sous son égide (max de 625$) </w:t>
            </w:r>
          </w:p>
          <w:p w14:paraId="37A76686" w14:textId="77777777" w:rsidR="00506950" w:rsidRPr="00166E36" w:rsidRDefault="00506950" w:rsidP="00506950">
            <w:pPr>
              <w:pStyle w:val="Paragraphedeliste"/>
              <w:numPr>
                <w:ilvl w:val="0"/>
                <w:numId w:val="4"/>
              </w:numPr>
              <w:ind w:left="321" w:right="-116" w:hanging="284"/>
              <w:rPr>
                <w:sz w:val="22"/>
                <w:szCs w:val="22"/>
              </w:rPr>
            </w:pPr>
            <w:r w:rsidRPr="00166E36">
              <w:rPr>
                <w:sz w:val="22"/>
                <w:szCs w:val="22"/>
              </w:rPr>
              <w:t>325 $ - CUCI</w:t>
            </w:r>
          </w:p>
          <w:p w14:paraId="4E796D9F" w14:textId="77777777" w:rsidR="00506950" w:rsidRPr="00166E36" w:rsidRDefault="00506950" w:rsidP="00506950">
            <w:pPr>
              <w:pStyle w:val="Paragraphedeliste"/>
              <w:numPr>
                <w:ilvl w:val="0"/>
                <w:numId w:val="4"/>
              </w:numPr>
              <w:ind w:left="321" w:right="-116" w:hanging="284"/>
              <w:rPr>
                <w:b/>
                <w:bCs/>
                <w:sz w:val="22"/>
                <w:szCs w:val="22"/>
              </w:rPr>
            </w:pPr>
            <w:r w:rsidRPr="00166E36">
              <w:rPr>
                <w:sz w:val="22"/>
                <w:szCs w:val="22"/>
              </w:rPr>
              <w:t>500 $ - CU d’établissements non-fusionnés</w:t>
            </w:r>
          </w:p>
          <w:p w14:paraId="3E143635" w14:textId="33C439B0" w:rsidR="00506950" w:rsidRPr="00506950" w:rsidRDefault="00506950" w:rsidP="00506950">
            <w:pPr>
              <w:pStyle w:val="Paragraphedeliste"/>
              <w:numPr>
                <w:ilvl w:val="0"/>
                <w:numId w:val="4"/>
              </w:numPr>
              <w:ind w:left="321" w:right="-116" w:hanging="284"/>
              <w:rPr>
                <w:b/>
                <w:bCs/>
              </w:rPr>
            </w:pPr>
            <w:r w:rsidRPr="00166E36">
              <w:rPr>
                <w:sz w:val="22"/>
                <w:szCs w:val="22"/>
              </w:rPr>
              <w:t xml:space="preserve">200 $ - CR </w:t>
            </w:r>
            <w:r w:rsidR="00166E36">
              <w:rPr>
                <w:sz w:val="22"/>
                <w:szCs w:val="22"/>
              </w:rPr>
              <w:t>dont les droits ne sont pas payés p</w:t>
            </w:r>
            <w:r w:rsidR="00166E36">
              <w:t>ar son CU</w:t>
            </w:r>
          </w:p>
        </w:tc>
      </w:tr>
    </w:tbl>
    <w:p w14:paraId="0730CB3D" w14:textId="77777777" w:rsidR="00211EAE" w:rsidRPr="00211EAE" w:rsidRDefault="00211EAE" w:rsidP="000B211E">
      <w:pPr>
        <w:rPr>
          <w:b/>
          <w:bCs/>
        </w:rPr>
      </w:pPr>
    </w:p>
    <w:sectPr w:rsidR="00211EAE" w:rsidRPr="00211EAE" w:rsidSect="00166E36">
      <w:headerReference w:type="even" r:id="rId8"/>
      <w:headerReference w:type="default" r:id="rId9"/>
      <w:footerReference w:type="even" r:id="rId10"/>
      <w:footerReference w:type="default" r:id="rId11"/>
      <w:headerReference w:type="first" r:id="rId12"/>
      <w:footerReference w:type="first" r:id="rId13"/>
      <w:pgSz w:w="12240" w:h="15840"/>
      <w:pgMar w:top="1440" w:right="1183"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C6E1A" w14:textId="77777777" w:rsidR="00AC1324" w:rsidRDefault="00AC1324" w:rsidP="00AC1324">
      <w:pPr>
        <w:spacing w:after="0" w:line="240" w:lineRule="auto"/>
      </w:pPr>
      <w:r>
        <w:separator/>
      </w:r>
    </w:p>
  </w:endnote>
  <w:endnote w:type="continuationSeparator" w:id="0">
    <w:p w14:paraId="612B9488" w14:textId="77777777" w:rsidR="00AC1324" w:rsidRDefault="00AC1324" w:rsidP="00AC1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973FF" w14:textId="77777777" w:rsidR="003B1D54" w:rsidRDefault="003B1D5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681920"/>
      <w:docPartObj>
        <w:docPartGallery w:val="Page Numbers (Bottom of Page)"/>
        <w:docPartUnique/>
      </w:docPartObj>
    </w:sdtPr>
    <w:sdtContent>
      <w:p w14:paraId="73B4AFA7" w14:textId="7D4F5A24" w:rsidR="003B1D54" w:rsidRDefault="003B1D54">
        <w:pPr>
          <w:pStyle w:val="Pieddepage"/>
          <w:jc w:val="center"/>
        </w:pPr>
        <w:r>
          <w:fldChar w:fldCharType="begin"/>
        </w:r>
        <w:r>
          <w:instrText>PAGE   \* MERGEFORMAT</w:instrText>
        </w:r>
        <w:r>
          <w:fldChar w:fldCharType="separate"/>
        </w:r>
        <w:r>
          <w:rPr>
            <w:lang w:val="fr-FR"/>
          </w:rPr>
          <w:t>2</w:t>
        </w:r>
        <w:r>
          <w:fldChar w:fldCharType="end"/>
        </w:r>
      </w:p>
    </w:sdtContent>
  </w:sdt>
  <w:p w14:paraId="29BBCBF2" w14:textId="1DCA3B7C" w:rsidR="003B1D54" w:rsidRDefault="003B1D54">
    <w:pPr>
      <w:pStyle w:val="Pieddepage"/>
    </w:pPr>
    <w:r>
      <w:t>DGCRMAI – 2023-08-25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3E316" w14:textId="77777777" w:rsidR="003B1D54" w:rsidRDefault="003B1D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81C66" w14:textId="77777777" w:rsidR="00AC1324" w:rsidRDefault="00AC1324" w:rsidP="00AC1324">
      <w:pPr>
        <w:spacing w:after="0" w:line="240" w:lineRule="auto"/>
      </w:pPr>
      <w:r>
        <w:separator/>
      </w:r>
    </w:p>
  </w:footnote>
  <w:footnote w:type="continuationSeparator" w:id="0">
    <w:p w14:paraId="548884A7" w14:textId="77777777" w:rsidR="00AC1324" w:rsidRDefault="00AC1324" w:rsidP="00AC13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FF14" w14:textId="77777777" w:rsidR="003B1D54" w:rsidRDefault="003B1D5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9CCF" w14:textId="77777777" w:rsidR="003B1D54" w:rsidRDefault="003B1D5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74AD6" w14:textId="77777777" w:rsidR="003B1D54" w:rsidRDefault="003B1D5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564570"/>
    <w:multiLevelType w:val="hybridMultilevel"/>
    <w:tmpl w:val="44ACD230"/>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3CF139C9"/>
    <w:multiLevelType w:val="hybridMultilevel"/>
    <w:tmpl w:val="25BABC76"/>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41F17587"/>
    <w:multiLevelType w:val="multilevel"/>
    <w:tmpl w:val="FEBACC56"/>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C634F57"/>
    <w:multiLevelType w:val="multilevel"/>
    <w:tmpl w:val="E10E663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15:restartNumberingAfterBreak="0">
    <w:nsid w:val="6E63187C"/>
    <w:multiLevelType w:val="multilevel"/>
    <w:tmpl w:val="4ED47AF0"/>
    <w:lvl w:ilvl="0">
      <w:start w:val="1"/>
      <w:numFmt w:val="upperRoman"/>
      <w:lvlText w:val="%1."/>
      <w:lvlJc w:val="right"/>
      <w:pPr>
        <w:tabs>
          <w:tab w:val="num" w:pos="1068"/>
        </w:tabs>
        <w:ind w:left="1068" w:hanging="360"/>
      </w:pPr>
      <w:rPr>
        <w:rFonts w:hint="default"/>
        <w:sz w:val="20"/>
      </w:rPr>
    </w:lvl>
    <w:lvl w:ilvl="1" w:tentative="1">
      <w:start w:val="1"/>
      <w:numFmt w:val="bullet"/>
      <w:lvlText w:val=""/>
      <w:lvlJc w:val="left"/>
      <w:pPr>
        <w:tabs>
          <w:tab w:val="num" w:pos="1788"/>
        </w:tabs>
        <w:ind w:left="1788" w:hanging="360"/>
      </w:pPr>
      <w:rPr>
        <w:rFonts w:ascii="Symbol" w:hAnsi="Symbol" w:hint="default"/>
        <w:sz w:val="20"/>
      </w:rPr>
    </w:lvl>
    <w:lvl w:ilvl="2" w:tentative="1">
      <w:start w:val="1"/>
      <w:numFmt w:val="bullet"/>
      <w:lvlText w:val=""/>
      <w:lvlJc w:val="left"/>
      <w:pPr>
        <w:tabs>
          <w:tab w:val="num" w:pos="2508"/>
        </w:tabs>
        <w:ind w:left="2508" w:hanging="360"/>
      </w:pPr>
      <w:rPr>
        <w:rFonts w:ascii="Symbol" w:hAnsi="Symbol" w:hint="default"/>
        <w:sz w:val="20"/>
      </w:rPr>
    </w:lvl>
    <w:lvl w:ilvl="3" w:tentative="1">
      <w:start w:val="1"/>
      <w:numFmt w:val="bullet"/>
      <w:lvlText w:val=""/>
      <w:lvlJc w:val="left"/>
      <w:pPr>
        <w:tabs>
          <w:tab w:val="num" w:pos="3228"/>
        </w:tabs>
        <w:ind w:left="3228" w:hanging="360"/>
      </w:pPr>
      <w:rPr>
        <w:rFonts w:ascii="Symbol" w:hAnsi="Symbol" w:hint="default"/>
        <w:sz w:val="20"/>
      </w:rPr>
    </w:lvl>
    <w:lvl w:ilvl="4" w:tentative="1">
      <w:start w:val="1"/>
      <w:numFmt w:val="bullet"/>
      <w:lvlText w:val=""/>
      <w:lvlJc w:val="left"/>
      <w:pPr>
        <w:tabs>
          <w:tab w:val="num" w:pos="3948"/>
        </w:tabs>
        <w:ind w:left="3948" w:hanging="360"/>
      </w:pPr>
      <w:rPr>
        <w:rFonts w:ascii="Symbol" w:hAnsi="Symbol" w:hint="default"/>
        <w:sz w:val="20"/>
      </w:rPr>
    </w:lvl>
    <w:lvl w:ilvl="5" w:tentative="1">
      <w:start w:val="1"/>
      <w:numFmt w:val="bullet"/>
      <w:lvlText w:val=""/>
      <w:lvlJc w:val="left"/>
      <w:pPr>
        <w:tabs>
          <w:tab w:val="num" w:pos="4668"/>
        </w:tabs>
        <w:ind w:left="4668" w:hanging="360"/>
      </w:pPr>
      <w:rPr>
        <w:rFonts w:ascii="Symbol" w:hAnsi="Symbol" w:hint="default"/>
        <w:sz w:val="20"/>
      </w:rPr>
    </w:lvl>
    <w:lvl w:ilvl="6" w:tentative="1">
      <w:start w:val="1"/>
      <w:numFmt w:val="bullet"/>
      <w:lvlText w:val=""/>
      <w:lvlJc w:val="left"/>
      <w:pPr>
        <w:tabs>
          <w:tab w:val="num" w:pos="5388"/>
        </w:tabs>
        <w:ind w:left="5388" w:hanging="360"/>
      </w:pPr>
      <w:rPr>
        <w:rFonts w:ascii="Symbol" w:hAnsi="Symbol" w:hint="default"/>
        <w:sz w:val="20"/>
      </w:rPr>
    </w:lvl>
    <w:lvl w:ilvl="7" w:tentative="1">
      <w:start w:val="1"/>
      <w:numFmt w:val="bullet"/>
      <w:lvlText w:val=""/>
      <w:lvlJc w:val="left"/>
      <w:pPr>
        <w:tabs>
          <w:tab w:val="num" w:pos="6108"/>
        </w:tabs>
        <w:ind w:left="6108" w:hanging="360"/>
      </w:pPr>
      <w:rPr>
        <w:rFonts w:ascii="Symbol" w:hAnsi="Symbol" w:hint="default"/>
        <w:sz w:val="20"/>
      </w:rPr>
    </w:lvl>
    <w:lvl w:ilvl="8" w:tentative="1">
      <w:start w:val="1"/>
      <w:numFmt w:val="bullet"/>
      <w:lvlText w:val=""/>
      <w:lvlJc w:val="left"/>
      <w:pPr>
        <w:tabs>
          <w:tab w:val="num" w:pos="6828"/>
        </w:tabs>
        <w:ind w:left="6828" w:hanging="360"/>
      </w:pPr>
      <w:rPr>
        <w:rFonts w:ascii="Symbol" w:hAnsi="Symbol" w:hint="default"/>
        <w:sz w:val="20"/>
      </w:rPr>
    </w:lvl>
  </w:abstractNum>
  <w:num w:numId="1" w16cid:durableId="683940744">
    <w:abstractNumId w:val="3"/>
  </w:num>
  <w:num w:numId="2" w16cid:durableId="253710674">
    <w:abstractNumId w:val="2"/>
  </w:num>
  <w:num w:numId="3" w16cid:durableId="1374620373">
    <w:abstractNumId w:val="0"/>
  </w:num>
  <w:num w:numId="4" w16cid:durableId="1408766050">
    <w:abstractNumId w:val="1"/>
  </w:num>
  <w:num w:numId="5" w16cid:durableId="19464220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EAE"/>
    <w:rsid w:val="000B211E"/>
    <w:rsid w:val="00166E36"/>
    <w:rsid w:val="00177793"/>
    <w:rsid w:val="00211EAE"/>
    <w:rsid w:val="00324F58"/>
    <w:rsid w:val="003B1D54"/>
    <w:rsid w:val="00506950"/>
    <w:rsid w:val="00704502"/>
    <w:rsid w:val="009A1476"/>
    <w:rsid w:val="00AC1324"/>
    <w:rsid w:val="00D265C9"/>
    <w:rsid w:val="00D43E19"/>
    <w:rsid w:val="00E43BA1"/>
    <w:rsid w:val="00F55A3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3045A1"/>
  <w15:chartTrackingRefBased/>
  <w15:docId w15:val="{EE86276F-64C1-439F-B8F4-37588DE5E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11EAE"/>
    <w:pPr>
      <w:spacing w:after="0" w:line="240" w:lineRule="auto"/>
      <w:ind w:left="720"/>
      <w:contextualSpacing/>
    </w:pPr>
    <w:rPr>
      <w:rFonts w:ascii="Times New Roman" w:eastAsia="Times New Roman" w:hAnsi="Times New Roman" w:cs="Times New Roman"/>
      <w:sz w:val="24"/>
      <w:szCs w:val="24"/>
      <w:lang w:val="fr-FR" w:eastAsia="fr-CA"/>
    </w:rPr>
  </w:style>
  <w:style w:type="paragraph" w:styleId="NormalWeb">
    <w:name w:val="Normal (Web)"/>
    <w:basedOn w:val="Normal"/>
    <w:uiPriority w:val="99"/>
    <w:semiHidden/>
    <w:unhideWhenUsed/>
    <w:rsid w:val="00211EAE"/>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Lienhypertexte">
    <w:name w:val="Hyperlink"/>
    <w:basedOn w:val="Policepardfaut"/>
    <w:uiPriority w:val="99"/>
    <w:unhideWhenUsed/>
    <w:rsid w:val="00211EAE"/>
    <w:rPr>
      <w:color w:val="0000FF"/>
      <w:u w:val="single"/>
    </w:rPr>
  </w:style>
  <w:style w:type="paragraph" w:customStyle="1" w:styleId="Default">
    <w:name w:val="Default"/>
    <w:rsid w:val="00211EAE"/>
    <w:pPr>
      <w:autoSpaceDE w:val="0"/>
      <w:autoSpaceDN w:val="0"/>
      <w:adjustRightInd w:val="0"/>
      <w:spacing w:after="0" w:line="240" w:lineRule="auto"/>
    </w:pPr>
    <w:rPr>
      <w:rFonts w:ascii="Calibri" w:eastAsia="Times New Roman" w:hAnsi="Calibri" w:cs="Calibri"/>
      <w:color w:val="000000"/>
      <w:sz w:val="24"/>
      <w:szCs w:val="24"/>
      <w:lang w:eastAsia="fr-CA"/>
    </w:rPr>
  </w:style>
  <w:style w:type="character" w:styleId="Lienhypertextesuivivisit">
    <w:name w:val="FollowedHyperlink"/>
    <w:basedOn w:val="Policepardfaut"/>
    <w:uiPriority w:val="99"/>
    <w:semiHidden/>
    <w:unhideWhenUsed/>
    <w:rsid w:val="00211EAE"/>
    <w:rPr>
      <w:color w:val="954F72" w:themeColor="followedHyperlink"/>
      <w:u w:val="single"/>
    </w:rPr>
  </w:style>
  <w:style w:type="table" w:styleId="Grilledutableau">
    <w:name w:val="Table Grid"/>
    <w:basedOn w:val="TableauNormal"/>
    <w:uiPriority w:val="39"/>
    <w:rsid w:val="00211E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B1D54"/>
    <w:pPr>
      <w:tabs>
        <w:tab w:val="center" w:pos="4320"/>
        <w:tab w:val="right" w:pos="8640"/>
      </w:tabs>
      <w:spacing w:after="0" w:line="240" w:lineRule="auto"/>
    </w:pPr>
  </w:style>
  <w:style w:type="character" w:customStyle="1" w:styleId="En-tteCar">
    <w:name w:val="En-tête Car"/>
    <w:basedOn w:val="Policepardfaut"/>
    <w:link w:val="En-tte"/>
    <w:uiPriority w:val="99"/>
    <w:rsid w:val="003B1D54"/>
  </w:style>
  <w:style w:type="paragraph" w:styleId="Pieddepage">
    <w:name w:val="footer"/>
    <w:basedOn w:val="Normal"/>
    <w:link w:val="PieddepageCar"/>
    <w:uiPriority w:val="99"/>
    <w:unhideWhenUsed/>
    <w:rsid w:val="003B1D5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3B1D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alliancepatients.org/propos-de-nous/notre-financemen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673</Words>
  <Characters>3707</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Lambert</dc:creator>
  <cp:keywords/>
  <dc:description/>
  <cp:lastModifiedBy>Geneviève Landry (MSSS)</cp:lastModifiedBy>
  <cp:revision>2</cp:revision>
  <dcterms:created xsi:type="dcterms:W3CDTF">2023-08-25T21:32:00Z</dcterms:created>
  <dcterms:modified xsi:type="dcterms:W3CDTF">2023-08-25T21:32:00Z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2023-08-25T14:14:35Z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900add0a-b932-488b-aac6-fb8b19e92ccf</vt:lpwstr>
  </property>
  <property fmtid="{D5CDD505-2E9C-101B-9397-08002B2CF9AE}" pid="8" name="MSIP_Label_6a7d8d5d-78e2-4a62-9fcd-016eb5e4c57c_ContentBits">
    <vt:lpwstr>0</vt:lpwstr>
  </property>
</Properties>
</file>