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B2EDA" w14:textId="305186A1" w:rsidR="00C16ACB" w:rsidRPr="00E14071" w:rsidRDefault="00E14071" w:rsidP="00E14071">
      <w:pPr>
        <w:pStyle w:val="Paragraphedeliste"/>
        <w:numPr>
          <w:ilvl w:val="0"/>
          <w:numId w:val="5"/>
        </w:numPr>
        <w:tabs>
          <w:tab w:val="num" w:pos="0"/>
        </w:tabs>
        <w:spacing w:before="120" w:after="120" w:line="240" w:lineRule="auto"/>
        <w:jc w:val="both"/>
        <w:rPr>
          <w:rFonts w:ascii="Arial" w:eastAsia="Times New Roman" w:hAnsi="Arial" w:cs="Arial"/>
          <w:kern w:val="0"/>
          <w:sz w:val="24"/>
          <w:szCs w:val="24"/>
          <w:lang w:eastAsia="fr-CA"/>
          <w14:ligatures w14:val="none"/>
        </w:rPr>
      </w:pPr>
      <w:r w:rsidRPr="00E14071">
        <w:rPr>
          <w:rFonts w:ascii="Arial" w:hAnsi="Arial" w:cs="Arial"/>
          <w:b/>
          <w:bCs/>
          <w:color w:val="4472C4"/>
          <w:sz w:val="28"/>
          <w:szCs w:val="28"/>
          <w:lang w:val="fr-FR"/>
        </w:rPr>
        <w:t>Le</w:t>
      </w:r>
      <w:r w:rsidR="0004091C" w:rsidRPr="00E14071">
        <w:rPr>
          <w:rFonts w:ascii="Arial" w:hAnsi="Arial" w:cs="Arial"/>
          <w:b/>
          <w:bCs/>
          <w:color w:val="4472C4"/>
          <w:sz w:val="28"/>
          <w:szCs w:val="28"/>
          <w:lang w:val="fr-FR"/>
        </w:rPr>
        <w:t xml:space="preserve"> nombre d’employés dédié à des fonctions d’inspection et/ou enquête</w:t>
      </w:r>
    </w:p>
    <w:p w14:paraId="0FA12D1A" w14:textId="16E7D6EA" w:rsidR="00C16ACB" w:rsidRDefault="007241A8" w:rsidP="009D0C41">
      <w:pPr>
        <w:tabs>
          <w:tab w:val="num" w:pos="0"/>
        </w:tabs>
        <w:spacing w:before="120" w:after="200" w:line="240" w:lineRule="auto"/>
        <w:jc w:val="both"/>
        <w:rPr>
          <w:rFonts w:ascii="Arial" w:eastAsia="Times New Roman" w:hAnsi="Arial" w:cs="Arial"/>
          <w:kern w:val="0"/>
          <w:sz w:val="24"/>
          <w:szCs w:val="24"/>
          <w:lang w:eastAsia="fr-CA"/>
          <w14:ligatures w14:val="none"/>
        </w:rPr>
      </w:pPr>
      <w:r>
        <w:rPr>
          <w:rFonts w:ascii="Arial" w:eastAsia="Times New Roman" w:hAnsi="Arial" w:cs="Arial"/>
          <w:kern w:val="0"/>
          <w:sz w:val="24"/>
          <w:szCs w:val="24"/>
          <w:lang w:eastAsia="fr-CA"/>
          <w14:ligatures w14:val="none"/>
        </w:rPr>
        <w:t xml:space="preserve">La </w:t>
      </w:r>
      <w:r w:rsidR="00C16ACB" w:rsidRPr="00C16ACB">
        <w:rPr>
          <w:rFonts w:ascii="Arial" w:eastAsia="Times New Roman" w:hAnsi="Arial" w:cs="Arial"/>
          <w:kern w:val="0"/>
          <w:sz w:val="24"/>
          <w:szCs w:val="24"/>
          <w:lang w:eastAsia="fr-CA"/>
          <w14:ligatures w14:val="none"/>
        </w:rPr>
        <w:t>Direction</w:t>
      </w:r>
      <w:r w:rsidR="009D0C41" w:rsidRPr="009D0C41">
        <w:rPr>
          <w:rFonts w:ascii="Arial" w:eastAsia="Times New Roman" w:hAnsi="Arial" w:cs="Arial"/>
          <w:kern w:val="0"/>
          <w:sz w:val="24"/>
          <w:szCs w:val="24"/>
          <w:lang w:eastAsia="fr-CA"/>
          <w14:ligatures w14:val="none"/>
        </w:rPr>
        <w:t xml:space="preserve"> des enquêtes, des évaluations et des </w:t>
      </w:r>
      <w:r w:rsidR="00C16ACB" w:rsidRPr="00C16ACB">
        <w:rPr>
          <w:rFonts w:ascii="Arial" w:eastAsia="Times New Roman" w:hAnsi="Arial" w:cs="Arial"/>
          <w:kern w:val="0"/>
          <w:sz w:val="24"/>
          <w:szCs w:val="24"/>
          <w:lang w:eastAsia="fr-CA"/>
          <w14:ligatures w14:val="none"/>
        </w:rPr>
        <w:t>inspection</w:t>
      </w:r>
      <w:r w:rsidR="009D0C41" w:rsidRPr="009D0C41">
        <w:rPr>
          <w:rFonts w:ascii="Arial" w:eastAsia="Times New Roman" w:hAnsi="Arial" w:cs="Arial"/>
          <w:kern w:val="0"/>
          <w:sz w:val="24"/>
          <w:szCs w:val="24"/>
          <w:lang w:eastAsia="fr-CA"/>
          <w14:ligatures w14:val="none"/>
        </w:rPr>
        <w:t>s chapeaute trois directions</w:t>
      </w:r>
      <w:r w:rsidR="00643913">
        <w:rPr>
          <w:rFonts w:ascii="Arial" w:eastAsia="Times New Roman" w:hAnsi="Arial" w:cs="Arial"/>
          <w:kern w:val="0"/>
          <w:sz w:val="24"/>
          <w:szCs w:val="24"/>
          <w:lang w:eastAsia="fr-CA"/>
          <w14:ligatures w14:val="none"/>
        </w:rPr>
        <w:t>,</w:t>
      </w:r>
      <w:r w:rsidR="009D0C41" w:rsidRPr="009D0C41">
        <w:rPr>
          <w:rFonts w:ascii="Arial" w:eastAsia="Times New Roman" w:hAnsi="Arial" w:cs="Arial"/>
          <w:kern w:val="0"/>
          <w:sz w:val="24"/>
          <w:szCs w:val="24"/>
          <w:lang w:eastAsia="fr-CA"/>
          <w14:ligatures w14:val="none"/>
        </w:rPr>
        <w:t xml:space="preserve"> soit la Direction adjointe des enquêtes et de l’inspection Secteur commercial et institutionnel, la Direction adjointe des évaluations et des inspections – Milieux de vie de l’</w:t>
      </w:r>
      <w:r w:rsidR="00643913">
        <w:rPr>
          <w:rFonts w:ascii="Arial" w:eastAsia="Times New Roman" w:hAnsi="Arial" w:cs="Arial"/>
          <w:kern w:val="0"/>
          <w:sz w:val="24"/>
          <w:szCs w:val="24"/>
          <w:lang w:eastAsia="fr-CA"/>
          <w14:ligatures w14:val="none"/>
        </w:rPr>
        <w:t>e</w:t>
      </w:r>
      <w:r w:rsidR="009D0C41" w:rsidRPr="009D0C41">
        <w:rPr>
          <w:rFonts w:ascii="Arial" w:eastAsia="Times New Roman" w:hAnsi="Arial" w:cs="Arial"/>
          <w:kern w:val="0"/>
          <w:sz w:val="24"/>
          <w:szCs w:val="24"/>
          <w:lang w:eastAsia="fr-CA"/>
          <w14:ligatures w14:val="none"/>
        </w:rPr>
        <w:t>st du Québec et la Direction adjointe des évaluations et des inspections – Milieux de vie de l’</w:t>
      </w:r>
      <w:r w:rsidR="00643913">
        <w:rPr>
          <w:rFonts w:ascii="Arial" w:eastAsia="Times New Roman" w:hAnsi="Arial" w:cs="Arial"/>
          <w:kern w:val="0"/>
          <w:sz w:val="24"/>
          <w:szCs w:val="24"/>
          <w:lang w:eastAsia="fr-CA"/>
          <w14:ligatures w14:val="none"/>
        </w:rPr>
        <w:t>o</w:t>
      </w:r>
      <w:r w:rsidR="009D0C41" w:rsidRPr="009D0C41">
        <w:rPr>
          <w:rFonts w:ascii="Arial" w:eastAsia="Times New Roman" w:hAnsi="Arial" w:cs="Arial"/>
          <w:kern w:val="0"/>
          <w:sz w:val="24"/>
          <w:szCs w:val="24"/>
          <w:lang w:eastAsia="fr-CA"/>
          <w14:ligatures w14:val="none"/>
        </w:rPr>
        <w:t xml:space="preserve">uest du Québec </w:t>
      </w:r>
      <w:r w:rsidR="009D0C41" w:rsidRPr="00C16ACB">
        <w:rPr>
          <w:rFonts w:ascii="Arial" w:eastAsia="Times New Roman" w:hAnsi="Arial" w:cs="Arial"/>
          <w:kern w:val="0"/>
          <w:sz w:val="24"/>
          <w:szCs w:val="24"/>
          <w:lang w:eastAsia="fr-CA"/>
          <w14:ligatures w14:val="none"/>
        </w:rPr>
        <w:t>ont</w:t>
      </w:r>
      <w:r w:rsidR="00C16ACB" w:rsidRPr="00C16ACB">
        <w:rPr>
          <w:rFonts w:ascii="Arial" w:eastAsia="Times New Roman" w:hAnsi="Arial" w:cs="Arial"/>
          <w:kern w:val="0"/>
          <w:sz w:val="24"/>
          <w:szCs w:val="24"/>
          <w:lang w:eastAsia="fr-CA"/>
          <w14:ligatures w14:val="none"/>
        </w:rPr>
        <w:t xml:space="preserve"> notamment la responsabilité d’appliquer :</w:t>
      </w:r>
    </w:p>
    <w:p w14:paraId="481BBB60" w14:textId="66CD3CD3" w:rsidR="009D0C41" w:rsidRPr="00C16ACB" w:rsidRDefault="009D0C41" w:rsidP="009D0C41">
      <w:pPr>
        <w:tabs>
          <w:tab w:val="num" w:pos="0"/>
        </w:tabs>
        <w:spacing w:before="120" w:after="200" w:line="240" w:lineRule="auto"/>
        <w:jc w:val="both"/>
        <w:rPr>
          <w:rFonts w:ascii="Arial" w:eastAsia="Times New Roman" w:hAnsi="Arial" w:cs="Arial"/>
          <w:kern w:val="0"/>
          <w:sz w:val="24"/>
          <w:szCs w:val="24"/>
          <w:lang w:eastAsia="fr-CA"/>
          <w14:ligatures w14:val="none"/>
        </w:rPr>
      </w:pPr>
      <w:r>
        <w:rPr>
          <w:rFonts w:ascii="Arial" w:eastAsia="Times New Roman" w:hAnsi="Arial" w:cs="Arial"/>
          <w:kern w:val="0"/>
          <w:sz w:val="24"/>
          <w:szCs w:val="24"/>
          <w:lang w:eastAsia="fr-CA"/>
          <w14:ligatures w14:val="none"/>
        </w:rPr>
        <w:t>La</w:t>
      </w:r>
      <w:r w:rsidRPr="009D0C41">
        <w:rPr>
          <w:rFonts w:ascii="Arial" w:eastAsia="Times New Roman" w:hAnsi="Arial" w:cs="Arial"/>
          <w:kern w:val="0"/>
          <w:sz w:val="24"/>
          <w:szCs w:val="24"/>
          <w:lang w:eastAsia="fr-CA"/>
          <w14:ligatures w14:val="none"/>
        </w:rPr>
        <w:t xml:space="preserve"> Direction adjointe des enquêtes et de l’inspection</w:t>
      </w:r>
      <w:r w:rsidR="00A3721A">
        <w:rPr>
          <w:rFonts w:ascii="Arial" w:eastAsia="Times New Roman" w:hAnsi="Arial" w:cs="Arial"/>
          <w:kern w:val="0"/>
          <w:sz w:val="24"/>
          <w:szCs w:val="24"/>
          <w:lang w:eastAsia="fr-CA"/>
          <w14:ligatures w14:val="none"/>
        </w:rPr>
        <w:t xml:space="preserve"> </w:t>
      </w:r>
      <w:r w:rsidRPr="009D0C41">
        <w:rPr>
          <w:rFonts w:ascii="Arial" w:eastAsia="Times New Roman" w:hAnsi="Arial" w:cs="Arial"/>
          <w:kern w:val="0"/>
          <w:sz w:val="24"/>
          <w:szCs w:val="24"/>
          <w:lang w:eastAsia="fr-CA"/>
          <w14:ligatures w14:val="none"/>
        </w:rPr>
        <w:t xml:space="preserve">- Secteur commercial et institutionnel </w:t>
      </w:r>
      <w:r>
        <w:rPr>
          <w:rFonts w:ascii="Arial" w:eastAsia="Times New Roman" w:hAnsi="Arial" w:cs="Arial"/>
          <w:kern w:val="0"/>
          <w:sz w:val="24"/>
          <w:szCs w:val="24"/>
          <w:lang w:eastAsia="fr-CA"/>
          <w14:ligatures w14:val="none"/>
        </w:rPr>
        <w:t>a</w:t>
      </w:r>
      <w:r w:rsidRPr="00C16ACB">
        <w:rPr>
          <w:rFonts w:ascii="Arial" w:eastAsia="Times New Roman" w:hAnsi="Arial" w:cs="Arial"/>
          <w:kern w:val="0"/>
          <w:sz w:val="24"/>
          <w:szCs w:val="24"/>
          <w:lang w:eastAsia="fr-CA"/>
          <w14:ligatures w14:val="none"/>
        </w:rPr>
        <w:t xml:space="preserve"> notamment la responsabilité d’appliquer :</w:t>
      </w:r>
    </w:p>
    <w:p w14:paraId="3D8F9C47" w14:textId="77777777" w:rsidR="00C16ACB" w:rsidRPr="00C16ACB" w:rsidRDefault="00C16ACB" w:rsidP="009D0C41">
      <w:pPr>
        <w:numPr>
          <w:ilvl w:val="0"/>
          <w:numId w:val="2"/>
        </w:numPr>
        <w:tabs>
          <w:tab w:val="clear" w:pos="720"/>
          <w:tab w:val="num" w:pos="0"/>
        </w:tabs>
        <w:spacing w:after="60" w:line="240" w:lineRule="auto"/>
        <w:ind w:left="0" w:firstLine="0"/>
        <w:textAlignment w:val="center"/>
        <w:rPr>
          <w:rFonts w:ascii="Calibri" w:eastAsia="Times New Roman" w:hAnsi="Calibri" w:cs="Calibri"/>
          <w:kern w:val="0"/>
          <w:sz w:val="24"/>
          <w:szCs w:val="24"/>
          <w:lang w:eastAsia="fr-CA"/>
          <w14:ligatures w14:val="none"/>
        </w:rPr>
      </w:pPr>
      <w:proofErr w:type="gramStart"/>
      <w:r w:rsidRPr="00C16ACB">
        <w:rPr>
          <w:rFonts w:ascii="Arial" w:eastAsia="Times New Roman" w:hAnsi="Arial" w:cs="Arial"/>
          <w:kern w:val="0"/>
          <w:sz w:val="24"/>
          <w:szCs w:val="24"/>
          <w:lang w:eastAsia="fr-CA"/>
          <w14:ligatures w14:val="none"/>
        </w:rPr>
        <w:t>la</w:t>
      </w:r>
      <w:proofErr w:type="gramEnd"/>
      <w:r w:rsidRPr="00C16ACB">
        <w:rPr>
          <w:rFonts w:ascii="Arial" w:eastAsia="Times New Roman" w:hAnsi="Arial" w:cs="Arial"/>
          <w:kern w:val="0"/>
          <w:sz w:val="24"/>
          <w:szCs w:val="24"/>
          <w:lang w:eastAsia="fr-CA"/>
          <w14:ligatures w14:val="none"/>
        </w:rPr>
        <w:t xml:space="preserve"> Loi concernant la lutte contre le tabagisme;</w:t>
      </w:r>
    </w:p>
    <w:p w14:paraId="496B2510" w14:textId="77777777" w:rsidR="00C16ACB" w:rsidRPr="00C16ACB" w:rsidRDefault="00C16ACB" w:rsidP="009D0C41">
      <w:pPr>
        <w:numPr>
          <w:ilvl w:val="0"/>
          <w:numId w:val="2"/>
        </w:numPr>
        <w:tabs>
          <w:tab w:val="clear" w:pos="720"/>
          <w:tab w:val="num" w:pos="0"/>
        </w:tabs>
        <w:spacing w:after="60" w:line="240" w:lineRule="auto"/>
        <w:ind w:left="0" w:firstLine="0"/>
        <w:textAlignment w:val="center"/>
        <w:rPr>
          <w:rFonts w:ascii="Calibri" w:eastAsia="Times New Roman" w:hAnsi="Calibri" w:cs="Calibri"/>
          <w:kern w:val="0"/>
          <w:sz w:val="24"/>
          <w:szCs w:val="24"/>
          <w:lang w:eastAsia="fr-CA"/>
          <w14:ligatures w14:val="none"/>
        </w:rPr>
      </w:pPr>
      <w:proofErr w:type="gramStart"/>
      <w:r w:rsidRPr="00C16ACB">
        <w:rPr>
          <w:rFonts w:ascii="Arial" w:eastAsia="Times New Roman" w:hAnsi="Arial" w:cs="Arial"/>
          <w:kern w:val="0"/>
          <w:sz w:val="24"/>
          <w:szCs w:val="24"/>
          <w:lang w:eastAsia="fr-CA"/>
          <w14:ligatures w14:val="none"/>
        </w:rPr>
        <w:t>la</w:t>
      </w:r>
      <w:proofErr w:type="gramEnd"/>
      <w:r w:rsidRPr="00C16ACB">
        <w:rPr>
          <w:rFonts w:ascii="Arial" w:eastAsia="Times New Roman" w:hAnsi="Arial" w:cs="Arial"/>
          <w:kern w:val="0"/>
          <w:sz w:val="24"/>
          <w:szCs w:val="24"/>
          <w:lang w:eastAsia="fr-CA"/>
          <w14:ligatures w14:val="none"/>
        </w:rPr>
        <w:t xml:space="preserve"> Loi encadrant le cannabis;</w:t>
      </w:r>
    </w:p>
    <w:p w14:paraId="2E79A56A" w14:textId="77777777" w:rsidR="00C16ACB" w:rsidRPr="00C16ACB" w:rsidRDefault="00C16ACB" w:rsidP="009D0C41">
      <w:pPr>
        <w:numPr>
          <w:ilvl w:val="0"/>
          <w:numId w:val="2"/>
        </w:numPr>
        <w:tabs>
          <w:tab w:val="clear" w:pos="720"/>
          <w:tab w:val="num" w:pos="0"/>
        </w:tabs>
        <w:spacing w:after="60" w:line="240" w:lineRule="auto"/>
        <w:ind w:left="0" w:firstLine="0"/>
        <w:textAlignment w:val="center"/>
        <w:rPr>
          <w:rFonts w:ascii="Calibri" w:eastAsia="Times New Roman" w:hAnsi="Calibri" w:cs="Calibri"/>
          <w:kern w:val="0"/>
          <w:sz w:val="24"/>
          <w:szCs w:val="24"/>
          <w:lang w:eastAsia="fr-CA"/>
          <w14:ligatures w14:val="none"/>
        </w:rPr>
      </w:pPr>
      <w:proofErr w:type="gramStart"/>
      <w:r w:rsidRPr="00C16ACB">
        <w:rPr>
          <w:rFonts w:ascii="Arial" w:eastAsia="Times New Roman" w:hAnsi="Arial" w:cs="Arial"/>
          <w:kern w:val="0"/>
          <w:sz w:val="24"/>
          <w:szCs w:val="24"/>
          <w:lang w:eastAsia="fr-CA"/>
          <w14:ligatures w14:val="none"/>
        </w:rPr>
        <w:t>la</w:t>
      </w:r>
      <w:proofErr w:type="gramEnd"/>
      <w:r w:rsidRPr="00C16ACB">
        <w:rPr>
          <w:rFonts w:ascii="Arial" w:eastAsia="Times New Roman" w:hAnsi="Arial" w:cs="Arial"/>
          <w:kern w:val="0"/>
          <w:sz w:val="24"/>
          <w:szCs w:val="24"/>
          <w:lang w:eastAsia="fr-CA"/>
          <w14:ligatures w14:val="none"/>
        </w:rPr>
        <w:t xml:space="preserve"> Loi sur les laboratoires médicaux, la conservation des organes et des tissus (domaines orthèse-prothèse et laboratoire d’imagerie médicale);</w:t>
      </w:r>
    </w:p>
    <w:p w14:paraId="0BCB9BBE" w14:textId="77777777" w:rsidR="00C16ACB" w:rsidRPr="00C16ACB" w:rsidRDefault="00C16ACB" w:rsidP="009D0C41">
      <w:pPr>
        <w:numPr>
          <w:ilvl w:val="0"/>
          <w:numId w:val="2"/>
        </w:numPr>
        <w:tabs>
          <w:tab w:val="clear" w:pos="720"/>
          <w:tab w:val="num" w:pos="0"/>
        </w:tabs>
        <w:spacing w:after="60" w:line="240" w:lineRule="auto"/>
        <w:ind w:left="0" w:firstLine="0"/>
        <w:textAlignment w:val="center"/>
        <w:rPr>
          <w:rFonts w:ascii="Calibri" w:eastAsia="Times New Roman" w:hAnsi="Calibri" w:cs="Calibri"/>
          <w:kern w:val="0"/>
          <w:sz w:val="24"/>
          <w:szCs w:val="24"/>
          <w:lang w:eastAsia="fr-CA"/>
          <w14:ligatures w14:val="none"/>
        </w:rPr>
      </w:pPr>
      <w:proofErr w:type="gramStart"/>
      <w:r w:rsidRPr="00C16ACB">
        <w:rPr>
          <w:rFonts w:ascii="Arial" w:eastAsia="Times New Roman" w:hAnsi="Arial" w:cs="Arial"/>
          <w:kern w:val="0"/>
          <w:sz w:val="24"/>
          <w:szCs w:val="24"/>
          <w:lang w:eastAsia="fr-CA"/>
          <w14:ligatures w14:val="none"/>
        </w:rPr>
        <w:t>la</w:t>
      </w:r>
      <w:proofErr w:type="gramEnd"/>
      <w:r w:rsidRPr="00C16ACB">
        <w:rPr>
          <w:rFonts w:ascii="Arial" w:eastAsia="Times New Roman" w:hAnsi="Arial" w:cs="Arial"/>
          <w:kern w:val="0"/>
          <w:sz w:val="24"/>
          <w:szCs w:val="24"/>
          <w:lang w:eastAsia="fr-CA"/>
          <w14:ligatures w14:val="none"/>
        </w:rPr>
        <w:t xml:space="preserve"> Loi sur les activités funéraires;</w:t>
      </w:r>
    </w:p>
    <w:p w14:paraId="1D227F66" w14:textId="77777777" w:rsidR="00C16ACB" w:rsidRPr="00C16ACB" w:rsidRDefault="00C16ACB" w:rsidP="009D0C41">
      <w:pPr>
        <w:numPr>
          <w:ilvl w:val="0"/>
          <w:numId w:val="2"/>
        </w:numPr>
        <w:tabs>
          <w:tab w:val="clear" w:pos="720"/>
          <w:tab w:val="num" w:pos="0"/>
        </w:tabs>
        <w:spacing w:after="60" w:line="240" w:lineRule="auto"/>
        <w:ind w:left="0" w:firstLine="0"/>
        <w:textAlignment w:val="center"/>
        <w:rPr>
          <w:rFonts w:ascii="Calibri" w:eastAsia="Times New Roman" w:hAnsi="Calibri" w:cs="Calibri"/>
          <w:kern w:val="0"/>
          <w:sz w:val="24"/>
          <w:szCs w:val="24"/>
          <w:lang w:eastAsia="fr-CA"/>
          <w14:ligatures w14:val="none"/>
        </w:rPr>
      </w:pPr>
      <w:proofErr w:type="gramStart"/>
      <w:r w:rsidRPr="00C16ACB">
        <w:rPr>
          <w:rFonts w:ascii="Arial" w:eastAsia="Times New Roman" w:hAnsi="Arial" w:cs="Arial"/>
          <w:kern w:val="0"/>
          <w:sz w:val="24"/>
          <w:szCs w:val="24"/>
          <w:lang w:eastAsia="fr-CA"/>
          <w14:ligatures w14:val="none"/>
        </w:rPr>
        <w:t>la</w:t>
      </w:r>
      <w:proofErr w:type="gramEnd"/>
      <w:r w:rsidRPr="00C16ACB">
        <w:rPr>
          <w:rFonts w:ascii="Arial" w:eastAsia="Times New Roman" w:hAnsi="Arial" w:cs="Arial"/>
          <w:kern w:val="0"/>
          <w:sz w:val="24"/>
          <w:szCs w:val="24"/>
          <w:lang w:eastAsia="fr-CA"/>
          <w14:ligatures w14:val="none"/>
        </w:rPr>
        <w:t xml:space="preserve"> Loi visant à prévenir les cancers de la peau causés par le bronzage artificiel;</w:t>
      </w:r>
    </w:p>
    <w:p w14:paraId="53373886" w14:textId="43F2923C" w:rsidR="009D0C41" w:rsidRPr="009D0C41" w:rsidRDefault="00C16ACB" w:rsidP="009D0C41">
      <w:pPr>
        <w:numPr>
          <w:ilvl w:val="0"/>
          <w:numId w:val="2"/>
        </w:numPr>
        <w:tabs>
          <w:tab w:val="clear" w:pos="720"/>
          <w:tab w:val="num" w:pos="0"/>
        </w:tabs>
        <w:spacing w:after="120" w:line="240" w:lineRule="auto"/>
        <w:ind w:left="0" w:firstLine="0"/>
        <w:textAlignment w:val="center"/>
        <w:rPr>
          <w:rFonts w:ascii="Calibri" w:eastAsia="Times New Roman" w:hAnsi="Calibri" w:cs="Calibri"/>
          <w:kern w:val="0"/>
          <w:sz w:val="24"/>
          <w:szCs w:val="24"/>
          <w:lang w:eastAsia="fr-CA"/>
          <w14:ligatures w14:val="none"/>
        </w:rPr>
      </w:pPr>
      <w:r w:rsidRPr="00C16ACB">
        <w:rPr>
          <w:rFonts w:ascii="Arial" w:eastAsia="Times New Roman" w:hAnsi="Arial" w:cs="Arial"/>
          <w:kern w:val="0"/>
          <w:sz w:val="24"/>
          <w:szCs w:val="24"/>
          <w:lang w:eastAsia="fr-CA"/>
          <w14:ligatures w14:val="none"/>
        </w:rPr>
        <w:t>La Loi visant à lutter contre la maltraitance envers les aînés et toute autre personne majeure en situation de vulnérabilité.</w:t>
      </w:r>
    </w:p>
    <w:p w14:paraId="3BB22073" w14:textId="0D4BF413" w:rsidR="009D0C41" w:rsidRPr="009D0C41" w:rsidRDefault="00643913" w:rsidP="009D0C41">
      <w:pPr>
        <w:tabs>
          <w:tab w:val="num" w:pos="0"/>
        </w:tabs>
        <w:spacing w:before="120" w:after="200" w:line="240" w:lineRule="auto"/>
        <w:jc w:val="both"/>
        <w:rPr>
          <w:rFonts w:ascii="Arial" w:eastAsia="Times New Roman" w:hAnsi="Arial" w:cs="Arial"/>
          <w:kern w:val="0"/>
          <w:sz w:val="24"/>
          <w:szCs w:val="24"/>
          <w:lang w:eastAsia="fr-CA"/>
          <w14:ligatures w14:val="none"/>
        </w:rPr>
      </w:pPr>
      <w:r>
        <w:rPr>
          <w:rFonts w:ascii="Arial" w:eastAsia="Times New Roman" w:hAnsi="Arial" w:cs="Arial"/>
          <w:kern w:val="0"/>
          <w:sz w:val="24"/>
          <w:szCs w:val="24"/>
          <w:lang w:eastAsia="fr-CA"/>
          <w14:ligatures w14:val="none"/>
        </w:rPr>
        <w:t>L</w:t>
      </w:r>
      <w:r w:rsidR="009D0C41">
        <w:rPr>
          <w:rFonts w:ascii="Arial" w:eastAsia="Times New Roman" w:hAnsi="Arial" w:cs="Arial"/>
          <w:kern w:val="0"/>
          <w:sz w:val="24"/>
          <w:szCs w:val="24"/>
          <w:lang w:eastAsia="fr-CA"/>
          <w14:ligatures w14:val="none"/>
        </w:rPr>
        <w:t xml:space="preserve">es </w:t>
      </w:r>
      <w:r w:rsidR="009D0C41" w:rsidRPr="009D0C41">
        <w:rPr>
          <w:rFonts w:ascii="Arial" w:eastAsia="Times New Roman" w:hAnsi="Arial" w:cs="Arial"/>
          <w:kern w:val="0"/>
          <w:sz w:val="24"/>
          <w:szCs w:val="24"/>
          <w:lang w:eastAsia="fr-CA"/>
          <w14:ligatures w14:val="none"/>
        </w:rPr>
        <w:t>Direction</w:t>
      </w:r>
      <w:r w:rsidR="009D0C41">
        <w:rPr>
          <w:rFonts w:ascii="Arial" w:eastAsia="Times New Roman" w:hAnsi="Arial" w:cs="Arial"/>
          <w:kern w:val="0"/>
          <w:sz w:val="24"/>
          <w:szCs w:val="24"/>
          <w:lang w:eastAsia="fr-CA"/>
          <w14:ligatures w14:val="none"/>
        </w:rPr>
        <w:t>s</w:t>
      </w:r>
      <w:r w:rsidR="009D0C41" w:rsidRPr="009D0C41">
        <w:rPr>
          <w:rFonts w:ascii="Arial" w:eastAsia="Times New Roman" w:hAnsi="Arial" w:cs="Arial"/>
          <w:kern w:val="0"/>
          <w:sz w:val="24"/>
          <w:szCs w:val="24"/>
          <w:lang w:eastAsia="fr-CA"/>
          <w14:ligatures w14:val="none"/>
        </w:rPr>
        <w:t xml:space="preserve"> adjointe</w:t>
      </w:r>
      <w:r>
        <w:rPr>
          <w:rFonts w:ascii="Arial" w:eastAsia="Times New Roman" w:hAnsi="Arial" w:cs="Arial"/>
          <w:kern w:val="0"/>
          <w:sz w:val="24"/>
          <w:szCs w:val="24"/>
          <w:lang w:eastAsia="fr-CA"/>
          <w14:ligatures w14:val="none"/>
        </w:rPr>
        <w:t>s</w:t>
      </w:r>
      <w:r w:rsidR="009D0C41" w:rsidRPr="009D0C41">
        <w:rPr>
          <w:rFonts w:ascii="Arial" w:eastAsia="Times New Roman" w:hAnsi="Arial" w:cs="Arial"/>
          <w:kern w:val="0"/>
          <w:sz w:val="24"/>
          <w:szCs w:val="24"/>
          <w:lang w:eastAsia="fr-CA"/>
          <w14:ligatures w14:val="none"/>
        </w:rPr>
        <w:t xml:space="preserve"> des évaluations et des inspections – Milieux de vie de </w:t>
      </w:r>
      <w:proofErr w:type="gramStart"/>
      <w:r w:rsidR="009D0C41" w:rsidRPr="009D0C41">
        <w:rPr>
          <w:rFonts w:ascii="Arial" w:eastAsia="Times New Roman" w:hAnsi="Arial" w:cs="Arial"/>
          <w:kern w:val="0"/>
          <w:sz w:val="24"/>
          <w:szCs w:val="24"/>
          <w:lang w:eastAsia="fr-CA"/>
          <w14:ligatures w14:val="none"/>
        </w:rPr>
        <w:t xml:space="preserve">l’Est </w:t>
      </w:r>
      <w:r w:rsidR="009D0C41">
        <w:rPr>
          <w:rFonts w:ascii="Arial" w:eastAsia="Times New Roman" w:hAnsi="Arial" w:cs="Arial"/>
          <w:kern w:val="0"/>
          <w:sz w:val="24"/>
          <w:szCs w:val="24"/>
          <w:lang w:eastAsia="fr-CA"/>
          <w14:ligatures w14:val="none"/>
        </w:rPr>
        <w:t xml:space="preserve"> et</w:t>
      </w:r>
      <w:proofErr w:type="gramEnd"/>
      <w:r w:rsidR="009D0C41">
        <w:rPr>
          <w:rFonts w:ascii="Arial" w:eastAsia="Times New Roman" w:hAnsi="Arial" w:cs="Arial"/>
          <w:kern w:val="0"/>
          <w:sz w:val="24"/>
          <w:szCs w:val="24"/>
          <w:lang w:eastAsia="fr-CA"/>
          <w14:ligatures w14:val="none"/>
        </w:rPr>
        <w:t xml:space="preserve"> de </w:t>
      </w:r>
      <w:r>
        <w:rPr>
          <w:rFonts w:ascii="Arial" w:eastAsia="Times New Roman" w:hAnsi="Arial" w:cs="Arial"/>
          <w:kern w:val="0"/>
          <w:sz w:val="24"/>
          <w:szCs w:val="24"/>
          <w:lang w:eastAsia="fr-CA"/>
          <w14:ligatures w14:val="none"/>
        </w:rPr>
        <w:t>l</w:t>
      </w:r>
      <w:r w:rsidR="009D0C41">
        <w:rPr>
          <w:rFonts w:ascii="Arial" w:eastAsia="Times New Roman" w:hAnsi="Arial" w:cs="Arial"/>
          <w:kern w:val="0"/>
          <w:sz w:val="24"/>
          <w:szCs w:val="24"/>
          <w:lang w:eastAsia="fr-CA"/>
          <w14:ligatures w14:val="none"/>
        </w:rPr>
        <w:t>’</w:t>
      </w:r>
      <w:r>
        <w:rPr>
          <w:rFonts w:ascii="Arial" w:eastAsia="Times New Roman" w:hAnsi="Arial" w:cs="Arial"/>
          <w:kern w:val="0"/>
          <w:sz w:val="24"/>
          <w:szCs w:val="24"/>
          <w:lang w:eastAsia="fr-CA"/>
          <w14:ligatures w14:val="none"/>
        </w:rPr>
        <w:t>o</w:t>
      </w:r>
      <w:r w:rsidR="009D0C41">
        <w:rPr>
          <w:rFonts w:ascii="Arial" w:eastAsia="Times New Roman" w:hAnsi="Arial" w:cs="Arial"/>
          <w:kern w:val="0"/>
          <w:sz w:val="24"/>
          <w:szCs w:val="24"/>
          <w:lang w:eastAsia="fr-CA"/>
          <w14:ligatures w14:val="none"/>
        </w:rPr>
        <w:t xml:space="preserve">uest </w:t>
      </w:r>
      <w:r w:rsidR="009D0C41" w:rsidRPr="009D0C41">
        <w:rPr>
          <w:rFonts w:ascii="Arial" w:eastAsia="Times New Roman" w:hAnsi="Arial" w:cs="Arial"/>
          <w:kern w:val="0"/>
          <w:sz w:val="24"/>
          <w:szCs w:val="24"/>
          <w:lang w:eastAsia="fr-CA"/>
          <w14:ligatures w14:val="none"/>
        </w:rPr>
        <w:t xml:space="preserve">du Québec </w:t>
      </w:r>
      <w:r w:rsidR="009D0C41">
        <w:rPr>
          <w:rFonts w:ascii="Arial" w:eastAsia="Times New Roman" w:hAnsi="Arial" w:cs="Arial"/>
          <w:kern w:val="0"/>
          <w:sz w:val="24"/>
          <w:szCs w:val="24"/>
          <w:lang w:eastAsia="fr-CA"/>
          <w14:ligatures w14:val="none"/>
        </w:rPr>
        <w:t xml:space="preserve"> </w:t>
      </w:r>
      <w:r w:rsidR="009D0C41" w:rsidRPr="009D0C41">
        <w:rPr>
          <w:rFonts w:ascii="Arial" w:eastAsia="Times New Roman" w:hAnsi="Arial" w:cs="Arial"/>
          <w:kern w:val="0"/>
          <w:sz w:val="24"/>
          <w:szCs w:val="24"/>
          <w:lang w:eastAsia="fr-CA"/>
          <w14:ligatures w14:val="none"/>
        </w:rPr>
        <w:t>ont notamment la responsabilité d’appliquer :</w:t>
      </w:r>
    </w:p>
    <w:p w14:paraId="7243AD7E" w14:textId="77777777" w:rsidR="009D0C41" w:rsidRPr="00C16ACB" w:rsidRDefault="009D0C41" w:rsidP="009D0C41">
      <w:pPr>
        <w:numPr>
          <w:ilvl w:val="0"/>
          <w:numId w:val="2"/>
        </w:numPr>
        <w:tabs>
          <w:tab w:val="clear" w:pos="720"/>
          <w:tab w:val="num" w:pos="0"/>
        </w:tabs>
        <w:spacing w:after="60" w:line="240" w:lineRule="auto"/>
        <w:ind w:left="0" w:firstLine="0"/>
        <w:textAlignment w:val="center"/>
        <w:rPr>
          <w:rFonts w:ascii="Calibri" w:eastAsia="Times New Roman" w:hAnsi="Calibri" w:cs="Calibri"/>
          <w:kern w:val="0"/>
          <w:sz w:val="24"/>
          <w:szCs w:val="24"/>
          <w:lang w:eastAsia="fr-CA"/>
          <w14:ligatures w14:val="none"/>
        </w:rPr>
      </w:pPr>
      <w:proofErr w:type="gramStart"/>
      <w:r w:rsidRPr="00C16ACB">
        <w:rPr>
          <w:rFonts w:ascii="Arial" w:eastAsia="Times New Roman" w:hAnsi="Arial" w:cs="Arial"/>
          <w:kern w:val="0"/>
          <w:sz w:val="24"/>
          <w:szCs w:val="24"/>
          <w:lang w:eastAsia="fr-CA"/>
          <w14:ligatures w14:val="none"/>
        </w:rPr>
        <w:t>le</w:t>
      </w:r>
      <w:proofErr w:type="gramEnd"/>
      <w:r w:rsidRPr="00C16ACB">
        <w:rPr>
          <w:rFonts w:ascii="Arial" w:eastAsia="Times New Roman" w:hAnsi="Arial" w:cs="Arial"/>
          <w:kern w:val="0"/>
          <w:sz w:val="24"/>
          <w:szCs w:val="24"/>
          <w:lang w:eastAsia="fr-CA"/>
          <w14:ligatures w14:val="none"/>
        </w:rPr>
        <w:t xml:space="preserve"> Règlement sur la certification des résidences privées pour aînés;</w:t>
      </w:r>
    </w:p>
    <w:p w14:paraId="2963BC1A" w14:textId="77777777" w:rsidR="009D0C41" w:rsidRPr="00C16ACB" w:rsidRDefault="009D0C41" w:rsidP="009D0C41">
      <w:pPr>
        <w:numPr>
          <w:ilvl w:val="0"/>
          <w:numId w:val="2"/>
        </w:numPr>
        <w:tabs>
          <w:tab w:val="clear" w:pos="720"/>
          <w:tab w:val="num" w:pos="0"/>
        </w:tabs>
        <w:spacing w:after="60" w:line="240" w:lineRule="auto"/>
        <w:ind w:left="0" w:firstLine="0"/>
        <w:textAlignment w:val="center"/>
        <w:rPr>
          <w:rFonts w:ascii="Calibri" w:eastAsia="Times New Roman" w:hAnsi="Calibri" w:cs="Calibri"/>
          <w:kern w:val="0"/>
          <w:sz w:val="24"/>
          <w:szCs w:val="24"/>
          <w:lang w:eastAsia="fr-CA"/>
          <w14:ligatures w14:val="none"/>
        </w:rPr>
      </w:pPr>
      <w:proofErr w:type="gramStart"/>
      <w:r w:rsidRPr="00C16ACB">
        <w:rPr>
          <w:rFonts w:ascii="Arial" w:eastAsia="Times New Roman" w:hAnsi="Arial" w:cs="Arial"/>
          <w:kern w:val="0"/>
          <w:sz w:val="24"/>
          <w:szCs w:val="24"/>
          <w:lang w:eastAsia="fr-CA"/>
          <w14:ligatures w14:val="none"/>
        </w:rPr>
        <w:t>la</w:t>
      </w:r>
      <w:proofErr w:type="gramEnd"/>
      <w:r w:rsidRPr="00C16ACB">
        <w:rPr>
          <w:rFonts w:ascii="Arial" w:eastAsia="Times New Roman" w:hAnsi="Arial" w:cs="Arial"/>
          <w:kern w:val="0"/>
          <w:sz w:val="24"/>
          <w:szCs w:val="24"/>
          <w:lang w:eastAsia="fr-CA"/>
          <w14:ligatures w14:val="none"/>
        </w:rPr>
        <w:t xml:space="preserve"> Loi concernant la lutte contre le tabagisme;</w:t>
      </w:r>
    </w:p>
    <w:p w14:paraId="7233F8B3" w14:textId="77777777" w:rsidR="009D0C41" w:rsidRPr="00C16ACB" w:rsidRDefault="009D0C41" w:rsidP="009D0C41">
      <w:pPr>
        <w:numPr>
          <w:ilvl w:val="0"/>
          <w:numId w:val="2"/>
        </w:numPr>
        <w:tabs>
          <w:tab w:val="clear" w:pos="720"/>
          <w:tab w:val="num" w:pos="0"/>
        </w:tabs>
        <w:spacing w:after="60" w:line="240" w:lineRule="auto"/>
        <w:ind w:left="0" w:firstLine="0"/>
        <w:textAlignment w:val="center"/>
        <w:rPr>
          <w:rFonts w:ascii="Calibri" w:eastAsia="Times New Roman" w:hAnsi="Calibri" w:cs="Calibri"/>
          <w:kern w:val="0"/>
          <w:sz w:val="24"/>
          <w:szCs w:val="24"/>
          <w:lang w:eastAsia="fr-CA"/>
          <w14:ligatures w14:val="none"/>
        </w:rPr>
      </w:pPr>
      <w:proofErr w:type="gramStart"/>
      <w:r w:rsidRPr="00C16ACB">
        <w:rPr>
          <w:rFonts w:ascii="Arial" w:eastAsia="Times New Roman" w:hAnsi="Arial" w:cs="Arial"/>
          <w:kern w:val="0"/>
          <w:sz w:val="24"/>
          <w:szCs w:val="24"/>
          <w:lang w:eastAsia="fr-CA"/>
          <w14:ligatures w14:val="none"/>
        </w:rPr>
        <w:t>la</w:t>
      </w:r>
      <w:proofErr w:type="gramEnd"/>
      <w:r w:rsidRPr="00C16ACB">
        <w:rPr>
          <w:rFonts w:ascii="Arial" w:eastAsia="Times New Roman" w:hAnsi="Arial" w:cs="Arial"/>
          <w:kern w:val="0"/>
          <w:sz w:val="24"/>
          <w:szCs w:val="24"/>
          <w:lang w:eastAsia="fr-CA"/>
          <w14:ligatures w14:val="none"/>
        </w:rPr>
        <w:t xml:space="preserve"> Loi encadrant le cannabis;</w:t>
      </w:r>
    </w:p>
    <w:p w14:paraId="7146B974" w14:textId="77777777" w:rsidR="009D0C41" w:rsidRPr="00C16ACB" w:rsidRDefault="009D0C41" w:rsidP="009D0C41">
      <w:pPr>
        <w:numPr>
          <w:ilvl w:val="0"/>
          <w:numId w:val="2"/>
        </w:numPr>
        <w:tabs>
          <w:tab w:val="clear" w:pos="720"/>
          <w:tab w:val="num" w:pos="0"/>
        </w:tabs>
        <w:spacing w:after="60" w:line="240" w:lineRule="auto"/>
        <w:ind w:left="0" w:firstLine="0"/>
        <w:textAlignment w:val="center"/>
        <w:rPr>
          <w:rFonts w:ascii="Calibri" w:eastAsia="Times New Roman" w:hAnsi="Calibri" w:cs="Calibri"/>
          <w:kern w:val="0"/>
          <w:sz w:val="24"/>
          <w:szCs w:val="24"/>
          <w:lang w:eastAsia="fr-CA"/>
          <w14:ligatures w14:val="none"/>
        </w:rPr>
      </w:pPr>
      <w:proofErr w:type="gramStart"/>
      <w:r w:rsidRPr="00C16ACB">
        <w:rPr>
          <w:rFonts w:ascii="Arial" w:eastAsia="Times New Roman" w:hAnsi="Arial" w:cs="Arial"/>
          <w:kern w:val="0"/>
          <w:sz w:val="24"/>
          <w:szCs w:val="24"/>
          <w:lang w:eastAsia="fr-CA"/>
          <w14:ligatures w14:val="none"/>
        </w:rPr>
        <w:t>la</w:t>
      </w:r>
      <w:proofErr w:type="gramEnd"/>
      <w:r w:rsidRPr="00C16ACB">
        <w:rPr>
          <w:rFonts w:ascii="Arial" w:eastAsia="Times New Roman" w:hAnsi="Arial" w:cs="Arial"/>
          <w:kern w:val="0"/>
          <w:sz w:val="24"/>
          <w:szCs w:val="24"/>
          <w:lang w:eastAsia="fr-CA"/>
          <w14:ligatures w14:val="none"/>
        </w:rPr>
        <w:t xml:space="preserve"> Loi sur les activités funéraires;</w:t>
      </w:r>
    </w:p>
    <w:p w14:paraId="23B814B8" w14:textId="77777777" w:rsidR="009D0C41" w:rsidRPr="00C16ACB" w:rsidRDefault="009D0C41" w:rsidP="009D0C41">
      <w:pPr>
        <w:numPr>
          <w:ilvl w:val="0"/>
          <w:numId w:val="2"/>
        </w:numPr>
        <w:tabs>
          <w:tab w:val="clear" w:pos="720"/>
          <w:tab w:val="num" w:pos="0"/>
        </w:tabs>
        <w:spacing w:after="120" w:line="240" w:lineRule="auto"/>
        <w:ind w:left="0" w:firstLine="0"/>
        <w:textAlignment w:val="center"/>
        <w:rPr>
          <w:rFonts w:ascii="Calibri" w:eastAsia="Times New Roman" w:hAnsi="Calibri" w:cs="Calibri"/>
          <w:kern w:val="0"/>
          <w:sz w:val="24"/>
          <w:szCs w:val="24"/>
          <w:lang w:eastAsia="fr-CA"/>
          <w14:ligatures w14:val="none"/>
        </w:rPr>
      </w:pPr>
      <w:proofErr w:type="gramStart"/>
      <w:r w:rsidRPr="00C16ACB">
        <w:rPr>
          <w:rFonts w:ascii="Arial" w:eastAsia="Times New Roman" w:hAnsi="Arial" w:cs="Arial"/>
          <w:kern w:val="0"/>
          <w:sz w:val="24"/>
          <w:szCs w:val="24"/>
          <w:lang w:eastAsia="fr-CA"/>
          <w14:ligatures w14:val="none"/>
        </w:rPr>
        <w:t>le</w:t>
      </w:r>
      <w:proofErr w:type="gramEnd"/>
      <w:r w:rsidRPr="00C16ACB">
        <w:rPr>
          <w:rFonts w:ascii="Arial" w:eastAsia="Times New Roman" w:hAnsi="Arial" w:cs="Arial"/>
          <w:kern w:val="0"/>
          <w:sz w:val="24"/>
          <w:szCs w:val="24"/>
          <w:lang w:eastAsia="fr-CA"/>
          <w14:ligatures w14:val="none"/>
        </w:rPr>
        <w:t xml:space="preserve"> Règlement sur la certification des ressources communautaires ou privées offrant de l'hébergement en dépendance;</w:t>
      </w:r>
    </w:p>
    <w:p w14:paraId="67FF92EF" w14:textId="77777777" w:rsidR="009D0C41" w:rsidRPr="009D0C41" w:rsidRDefault="009D0C41" w:rsidP="009D0C41">
      <w:pPr>
        <w:numPr>
          <w:ilvl w:val="0"/>
          <w:numId w:val="2"/>
        </w:numPr>
        <w:tabs>
          <w:tab w:val="clear" w:pos="720"/>
          <w:tab w:val="num" w:pos="0"/>
        </w:tabs>
        <w:spacing w:after="120" w:line="240" w:lineRule="auto"/>
        <w:ind w:left="0" w:firstLine="0"/>
        <w:textAlignment w:val="center"/>
        <w:rPr>
          <w:rFonts w:ascii="Calibri" w:eastAsia="Times New Roman" w:hAnsi="Calibri" w:cs="Calibri"/>
          <w:kern w:val="0"/>
          <w:sz w:val="24"/>
          <w:szCs w:val="24"/>
          <w:lang w:eastAsia="fr-CA"/>
          <w14:ligatures w14:val="none"/>
        </w:rPr>
      </w:pPr>
      <w:r w:rsidRPr="00C16ACB">
        <w:rPr>
          <w:rFonts w:ascii="Arial" w:eastAsia="Times New Roman" w:hAnsi="Arial" w:cs="Arial"/>
          <w:kern w:val="0"/>
          <w:sz w:val="24"/>
          <w:szCs w:val="24"/>
          <w:lang w:eastAsia="fr-CA"/>
          <w14:ligatures w14:val="none"/>
        </w:rPr>
        <w:t>La Loi visant à lutter contre la maltraitance envers les aînés et toute autre personne majeure en situation de vulnérabilité.</w:t>
      </w:r>
    </w:p>
    <w:p w14:paraId="4EBFE1A4" w14:textId="2E23011F" w:rsidR="00C16ACB" w:rsidRPr="00C16ACB" w:rsidRDefault="009D0C41" w:rsidP="009D0C41">
      <w:pPr>
        <w:numPr>
          <w:ilvl w:val="0"/>
          <w:numId w:val="2"/>
        </w:numPr>
        <w:tabs>
          <w:tab w:val="clear" w:pos="720"/>
          <w:tab w:val="num" w:pos="0"/>
        </w:tabs>
        <w:spacing w:after="120" w:line="240" w:lineRule="auto"/>
        <w:ind w:left="0" w:firstLine="0"/>
        <w:textAlignment w:val="center"/>
        <w:rPr>
          <w:rFonts w:ascii="Calibri" w:eastAsia="Times New Roman" w:hAnsi="Calibri" w:cs="Calibri"/>
          <w:kern w:val="0"/>
          <w:sz w:val="24"/>
          <w:szCs w:val="24"/>
          <w:lang w:eastAsia="fr-CA"/>
          <w14:ligatures w14:val="none"/>
        </w:rPr>
      </w:pPr>
      <w:r>
        <w:rPr>
          <w:rFonts w:ascii="Arial" w:eastAsia="Times New Roman" w:hAnsi="Arial" w:cs="Arial"/>
          <w:kern w:val="0"/>
          <w:sz w:val="24"/>
          <w:szCs w:val="24"/>
          <w:lang w:eastAsia="fr-CA"/>
          <w14:ligatures w14:val="none"/>
        </w:rPr>
        <w:t>L’évaluation des milieux de vie dans les CHSLD</w:t>
      </w:r>
      <w:r w:rsidR="00C16ACB" w:rsidRPr="00C16ACB">
        <w:rPr>
          <w:rFonts w:ascii="Arial Gras" w:eastAsia="Times New Roman" w:hAnsi="Arial Gras" w:cs="Calibri"/>
          <w:b/>
          <w:bCs/>
          <w:kern w:val="0"/>
          <w:sz w:val="24"/>
          <w:szCs w:val="24"/>
          <w:lang w:eastAsia="fr-CA"/>
          <w14:ligatures w14:val="none"/>
        </w:rPr>
        <w:t> </w:t>
      </w:r>
    </w:p>
    <w:p w14:paraId="683DDC88" w14:textId="0F5FB88F" w:rsidR="007241A8" w:rsidRPr="007241A8" w:rsidRDefault="007241A8" w:rsidP="007241A8">
      <w:pPr>
        <w:spacing w:after="200" w:line="240" w:lineRule="auto"/>
        <w:jc w:val="both"/>
        <w:rPr>
          <w:rFonts w:ascii="Arial" w:eastAsia="Times New Roman" w:hAnsi="Arial" w:cs="Arial"/>
          <w:kern w:val="0"/>
          <w:sz w:val="24"/>
          <w:szCs w:val="24"/>
          <w:lang w:eastAsia="fr-CA"/>
          <w14:ligatures w14:val="none"/>
        </w:rPr>
      </w:pPr>
      <w:r w:rsidRPr="007241A8">
        <w:rPr>
          <w:rFonts w:ascii="Arial" w:eastAsia="Times New Roman" w:hAnsi="Arial" w:cs="Arial"/>
          <w:kern w:val="0"/>
          <w:sz w:val="24"/>
          <w:szCs w:val="24"/>
          <w:lang w:eastAsia="fr-CA"/>
          <w14:ligatures w14:val="none"/>
        </w:rPr>
        <w:t>Pour l'application de l'ensemble des lois et règlement, la Direction des enquêtes, des évaluations et des inspections compte 49 inspecteurs.</w:t>
      </w:r>
    </w:p>
    <w:p w14:paraId="595DB63B" w14:textId="6637F4A1" w:rsidR="00C13764" w:rsidRDefault="00C13764" w:rsidP="007241A8">
      <w:pPr>
        <w:pStyle w:val="Paragraphedeliste"/>
        <w:numPr>
          <w:ilvl w:val="0"/>
          <w:numId w:val="4"/>
        </w:numPr>
        <w:tabs>
          <w:tab w:val="num" w:pos="0"/>
        </w:tabs>
        <w:spacing w:after="200" w:line="240" w:lineRule="auto"/>
        <w:jc w:val="both"/>
        <w:rPr>
          <w:rFonts w:ascii="Arial" w:eastAsia="Times New Roman" w:hAnsi="Arial" w:cs="Arial"/>
          <w:kern w:val="0"/>
          <w:sz w:val="24"/>
          <w:szCs w:val="24"/>
          <w:lang w:eastAsia="fr-CA"/>
          <w14:ligatures w14:val="none"/>
        </w:rPr>
      </w:pPr>
      <w:r w:rsidRPr="00C13764">
        <w:rPr>
          <w:rFonts w:ascii="Arial" w:eastAsia="Times New Roman" w:hAnsi="Arial" w:cs="Arial"/>
          <w:b/>
          <w:bCs/>
          <w:kern w:val="0"/>
          <w:sz w:val="24"/>
          <w:szCs w:val="24"/>
          <w:lang w:eastAsia="fr-CA"/>
          <w14:ligatures w14:val="none"/>
        </w:rPr>
        <w:t>Direction adjointe des enquêtes et de l’inspection - Secteur commercial et institutionnel</w:t>
      </w:r>
      <w:r w:rsidRPr="00C13764">
        <w:rPr>
          <w:rFonts w:ascii="Arial" w:eastAsia="Times New Roman" w:hAnsi="Arial" w:cs="Arial"/>
          <w:kern w:val="0"/>
          <w:sz w:val="24"/>
          <w:szCs w:val="24"/>
          <w:lang w:eastAsia="fr-CA"/>
          <w14:ligatures w14:val="none"/>
        </w:rPr>
        <w:t xml:space="preserve"> : 25 inspecteurs</w:t>
      </w:r>
      <w:r w:rsidR="00F57B1E">
        <w:rPr>
          <w:rFonts w:ascii="Arial" w:eastAsia="Times New Roman" w:hAnsi="Arial" w:cs="Arial"/>
          <w:kern w:val="0"/>
          <w:sz w:val="24"/>
          <w:szCs w:val="24"/>
          <w:lang w:eastAsia="fr-CA"/>
          <w14:ligatures w14:val="none"/>
        </w:rPr>
        <w:t xml:space="preserve"> </w:t>
      </w:r>
      <w:proofErr w:type="spellStart"/>
      <w:r w:rsidR="00F57B1E">
        <w:rPr>
          <w:rFonts w:ascii="Arial" w:eastAsia="Times New Roman" w:hAnsi="Arial" w:cs="Arial"/>
          <w:kern w:val="0"/>
          <w:sz w:val="24"/>
          <w:szCs w:val="24"/>
          <w:lang w:eastAsia="fr-CA"/>
          <w14:ligatures w14:val="none"/>
        </w:rPr>
        <w:t>multidomaines</w:t>
      </w:r>
      <w:proofErr w:type="spellEnd"/>
      <w:r w:rsidRPr="00C13764">
        <w:rPr>
          <w:rFonts w:ascii="Arial" w:eastAsia="Times New Roman" w:hAnsi="Arial" w:cs="Arial"/>
          <w:kern w:val="0"/>
          <w:sz w:val="24"/>
          <w:szCs w:val="24"/>
          <w:lang w:eastAsia="fr-CA"/>
          <w14:ligatures w14:val="none"/>
        </w:rPr>
        <w:t xml:space="preserve"> sont affectés, répartis comme suit : 14 à Montréal, 9 à Québec et 2 inspecteurs régionalisés.</w:t>
      </w:r>
    </w:p>
    <w:p w14:paraId="50586945" w14:textId="77777777" w:rsidR="00C13764" w:rsidRDefault="00C13764" w:rsidP="00C13764">
      <w:pPr>
        <w:pStyle w:val="Paragraphedeliste"/>
        <w:spacing w:after="200" w:line="240" w:lineRule="auto"/>
        <w:ind w:left="792"/>
        <w:jc w:val="both"/>
        <w:rPr>
          <w:rFonts w:ascii="Arial" w:eastAsia="Times New Roman" w:hAnsi="Arial" w:cs="Arial"/>
          <w:kern w:val="0"/>
          <w:sz w:val="24"/>
          <w:szCs w:val="24"/>
          <w:lang w:eastAsia="fr-CA"/>
          <w14:ligatures w14:val="none"/>
        </w:rPr>
      </w:pPr>
    </w:p>
    <w:p w14:paraId="6FB7C252" w14:textId="4E66C9E0" w:rsidR="00C13764" w:rsidRPr="00C13764" w:rsidRDefault="00C13764" w:rsidP="00C13764">
      <w:pPr>
        <w:pStyle w:val="Paragraphedeliste"/>
        <w:numPr>
          <w:ilvl w:val="0"/>
          <w:numId w:val="4"/>
        </w:numPr>
        <w:tabs>
          <w:tab w:val="num" w:pos="0"/>
        </w:tabs>
        <w:spacing w:after="200" w:line="240" w:lineRule="auto"/>
        <w:jc w:val="both"/>
        <w:rPr>
          <w:rFonts w:ascii="Arial" w:eastAsia="Times New Roman" w:hAnsi="Arial" w:cs="Arial"/>
          <w:kern w:val="0"/>
          <w:sz w:val="24"/>
          <w:szCs w:val="24"/>
          <w:lang w:eastAsia="fr-CA"/>
          <w14:ligatures w14:val="none"/>
        </w:rPr>
      </w:pPr>
      <w:r w:rsidRPr="00C13764">
        <w:rPr>
          <w:rFonts w:ascii="Arial" w:eastAsia="Times New Roman" w:hAnsi="Arial" w:cs="Arial"/>
          <w:b/>
          <w:bCs/>
          <w:kern w:val="0"/>
          <w:sz w:val="24"/>
          <w:szCs w:val="24"/>
          <w:lang w:eastAsia="fr-CA"/>
          <w14:ligatures w14:val="none"/>
        </w:rPr>
        <w:t>Directions adjointes des évaluations et des inspections - Milieux de vie de l’Est et de l’</w:t>
      </w:r>
      <w:r w:rsidR="00643913">
        <w:rPr>
          <w:rFonts w:ascii="Arial" w:eastAsia="Times New Roman" w:hAnsi="Arial" w:cs="Arial"/>
          <w:b/>
          <w:bCs/>
          <w:kern w:val="0"/>
          <w:sz w:val="24"/>
          <w:szCs w:val="24"/>
          <w:lang w:eastAsia="fr-CA"/>
          <w14:ligatures w14:val="none"/>
        </w:rPr>
        <w:t>o</w:t>
      </w:r>
      <w:r w:rsidRPr="00C13764">
        <w:rPr>
          <w:rFonts w:ascii="Arial" w:eastAsia="Times New Roman" w:hAnsi="Arial" w:cs="Arial"/>
          <w:b/>
          <w:bCs/>
          <w:kern w:val="0"/>
          <w:sz w:val="24"/>
          <w:szCs w:val="24"/>
          <w:lang w:eastAsia="fr-CA"/>
          <w14:ligatures w14:val="none"/>
        </w:rPr>
        <w:t>uest du Québec</w:t>
      </w:r>
      <w:r w:rsidRPr="00C13764">
        <w:rPr>
          <w:rFonts w:ascii="Arial" w:eastAsia="Times New Roman" w:hAnsi="Arial" w:cs="Arial"/>
          <w:kern w:val="0"/>
          <w:sz w:val="24"/>
          <w:szCs w:val="24"/>
          <w:lang w:eastAsia="fr-CA"/>
          <w14:ligatures w14:val="none"/>
        </w:rPr>
        <w:t xml:space="preserve"> : 24 inspecteurs dédiés aux </w:t>
      </w:r>
      <w:r w:rsidRPr="00C13764">
        <w:rPr>
          <w:rFonts w:ascii="Arial" w:eastAsia="Times New Roman" w:hAnsi="Arial" w:cs="Arial"/>
          <w:kern w:val="0"/>
          <w:sz w:val="24"/>
          <w:szCs w:val="24"/>
          <w:lang w:eastAsia="fr-CA"/>
          <w14:ligatures w14:val="none"/>
        </w:rPr>
        <w:lastRenderedPageBreak/>
        <w:t>inspections dans les RPA. Leur répartition est la suivante : 14 à Montréal, 6 à Québec, et 4 postes régionalisés (3 en Mauricie, 1 dans les Laurentides et 1 en Estrie).</w:t>
      </w:r>
    </w:p>
    <w:p w14:paraId="070AAEA2" w14:textId="0D8E4A64" w:rsidR="00B62575" w:rsidRDefault="00C13764" w:rsidP="00C13764">
      <w:pPr>
        <w:tabs>
          <w:tab w:val="num" w:pos="0"/>
        </w:tabs>
        <w:jc w:val="both"/>
        <w:rPr>
          <w:rFonts w:ascii="Arial" w:eastAsia="Times New Roman" w:hAnsi="Arial" w:cs="Arial"/>
          <w:kern w:val="0"/>
          <w:sz w:val="24"/>
          <w:szCs w:val="24"/>
          <w:lang w:eastAsia="fr-CA"/>
          <w14:ligatures w14:val="none"/>
        </w:rPr>
      </w:pPr>
      <w:r w:rsidRPr="00C13764">
        <w:rPr>
          <w:rFonts w:ascii="Arial" w:eastAsia="Times New Roman" w:hAnsi="Arial" w:cs="Arial"/>
          <w:kern w:val="0"/>
          <w:sz w:val="24"/>
          <w:szCs w:val="24"/>
          <w:lang w:eastAsia="fr-CA"/>
          <w14:ligatures w14:val="none"/>
        </w:rPr>
        <w:t>En plus des inspecteurs, nous avons 9 enquêteurs chargés des dossiers liés à la maltraitance, un domaine particulièrement crucial pour lequel nous recevons fréquemment des demandes de sanctions pénales. Leur répartition géographique est la suivante : 5 enquêteurs à Montréal, 3 à Québec et 1 enquêtrice en Mauricie.</w:t>
      </w:r>
    </w:p>
    <w:p w14:paraId="0CDEEBE9" w14:textId="6642C3ED" w:rsidR="0004091C" w:rsidRPr="00E14071" w:rsidRDefault="0004091C" w:rsidP="00E14071">
      <w:pPr>
        <w:pStyle w:val="Paragraphedeliste"/>
        <w:numPr>
          <w:ilvl w:val="0"/>
          <w:numId w:val="5"/>
        </w:numPr>
        <w:tabs>
          <w:tab w:val="num" w:pos="0"/>
        </w:tabs>
        <w:spacing w:before="120" w:after="120" w:line="240" w:lineRule="auto"/>
        <w:jc w:val="both"/>
        <w:rPr>
          <w:rFonts w:ascii="Arial" w:hAnsi="Arial" w:cs="Arial"/>
          <w:b/>
          <w:bCs/>
          <w:color w:val="4472C4"/>
          <w:sz w:val="28"/>
          <w:szCs w:val="28"/>
          <w:lang w:val="fr-FR"/>
        </w:rPr>
      </w:pPr>
      <w:r w:rsidRPr="00E14071">
        <w:rPr>
          <w:rFonts w:ascii="Arial" w:hAnsi="Arial" w:cs="Arial"/>
          <w:b/>
          <w:bCs/>
          <w:color w:val="4472C4"/>
          <w:sz w:val="28"/>
          <w:szCs w:val="28"/>
          <w:lang w:val="fr-FR"/>
        </w:rPr>
        <w:t>Leur rôle et responsabilité</w:t>
      </w:r>
    </w:p>
    <w:p w14:paraId="7A34BEFC" w14:textId="61D2FE00" w:rsidR="00F57B1E" w:rsidRDefault="00F57B1E" w:rsidP="00F57B1E">
      <w:pPr>
        <w:tabs>
          <w:tab w:val="num" w:pos="0"/>
        </w:tabs>
        <w:jc w:val="both"/>
        <w:rPr>
          <w:rFonts w:ascii="Arial" w:eastAsia="Times New Roman" w:hAnsi="Arial" w:cs="Arial"/>
          <w:kern w:val="0"/>
          <w:sz w:val="24"/>
          <w:szCs w:val="24"/>
          <w:lang w:eastAsia="fr-CA"/>
          <w14:ligatures w14:val="none"/>
        </w:rPr>
      </w:pPr>
      <w:r w:rsidRPr="00F57B1E">
        <w:rPr>
          <w:rFonts w:ascii="Arial" w:eastAsia="Times New Roman" w:hAnsi="Arial" w:cs="Arial"/>
          <w:kern w:val="0"/>
          <w:sz w:val="24"/>
          <w:szCs w:val="24"/>
          <w:lang w:eastAsia="fr-CA"/>
          <w14:ligatures w14:val="none"/>
        </w:rPr>
        <w:t xml:space="preserve">Pour les rôles et responsabilités, </w:t>
      </w:r>
      <w:proofErr w:type="spellStart"/>
      <w:r w:rsidR="00232299" w:rsidRPr="00F57B1E">
        <w:rPr>
          <w:rFonts w:ascii="Arial" w:eastAsia="Times New Roman" w:hAnsi="Arial" w:cs="Arial"/>
          <w:kern w:val="0"/>
          <w:sz w:val="24"/>
          <w:szCs w:val="24"/>
          <w:lang w:eastAsia="fr-CA"/>
          <w14:ligatures w14:val="none"/>
        </w:rPr>
        <w:t>veuillez</w:t>
      </w:r>
      <w:r w:rsidR="006D2550">
        <w:rPr>
          <w:rFonts w:ascii="Arial" w:eastAsia="Times New Roman" w:hAnsi="Arial" w:cs="Arial"/>
          <w:kern w:val="0"/>
          <w:sz w:val="24"/>
          <w:szCs w:val="24"/>
          <w:lang w:eastAsia="fr-CA"/>
          <w14:ligatures w14:val="none"/>
        </w:rPr>
        <w:t xml:space="preserve"> </w:t>
      </w:r>
      <w:r w:rsidR="00232299" w:rsidRPr="00F57B1E">
        <w:rPr>
          <w:rFonts w:ascii="Arial" w:eastAsia="Times New Roman" w:hAnsi="Arial" w:cs="Arial"/>
          <w:kern w:val="0"/>
          <w:sz w:val="24"/>
          <w:szCs w:val="24"/>
          <w:lang w:eastAsia="fr-CA"/>
          <w14:ligatures w14:val="none"/>
        </w:rPr>
        <w:t>vous</w:t>
      </w:r>
      <w:proofErr w:type="spellEnd"/>
      <w:r w:rsidRPr="00F57B1E">
        <w:rPr>
          <w:rFonts w:ascii="Arial" w:eastAsia="Times New Roman" w:hAnsi="Arial" w:cs="Arial"/>
          <w:kern w:val="0"/>
          <w:sz w:val="24"/>
          <w:szCs w:val="24"/>
          <w:lang w:eastAsia="fr-CA"/>
          <w14:ligatures w14:val="none"/>
        </w:rPr>
        <w:t xml:space="preserve"> référer aux descriptions </w:t>
      </w:r>
      <w:r w:rsidR="000E786C">
        <w:rPr>
          <w:rFonts w:ascii="Arial" w:eastAsia="Times New Roman" w:hAnsi="Arial" w:cs="Arial"/>
          <w:kern w:val="0"/>
          <w:sz w:val="24"/>
          <w:szCs w:val="24"/>
          <w:lang w:eastAsia="fr-CA"/>
          <w14:ligatures w14:val="none"/>
        </w:rPr>
        <w:t>d’emploi</w:t>
      </w:r>
      <w:r w:rsidRPr="00F57B1E">
        <w:rPr>
          <w:rFonts w:ascii="Arial" w:eastAsia="Times New Roman" w:hAnsi="Arial" w:cs="Arial"/>
          <w:kern w:val="0"/>
          <w:sz w:val="24"/>
          <w:szCs w:val="24"/>
          <w:lang w:eastAsia="fr-CA"/>
          <w14:ligatures w14:val="none"/>
        </w:rPr>
        <w:t xml:space="preserve"> ci-jointes.</w:t>
      </w:r>
    </w:p>
    <w:p w14:paraId="2BD14D95" w14:textId="1DB5D89A" w:rsidR="0004091C" w:rsidRPr="00E14071" w:rsidRDefault="0004091C" w:rsidP="00E14071">
      <w:pPr>
        <w:pStyle w:val="Paragraphedeliste"/>
        <w:numPr>
          <w:ilvl w:val="0"/>
          <w:numId w:val="5"/>
        </w:numPr>
        <w:tabs>
          <w:tab w:val="num" w:pos="0"/>
        </w:tabs>
        <w:spacing w:before="120" w:after="120" w:line="240" w:lineRule="auto"/>
        <w:jc w:val="both"/>
        <w:rPr>
          <w:rFonts w:ascii="Arial" w:hAnsi="Arial" w:cs="Arial"/>
          <w:b/>
          <w:bCs/>
          <w:color w:val="4472C4"/>
          <w:sz w:val="28"/>
          <w:szCs w:val="28"/>
          <w:lang w:val="fr-FR"/>
        </w:rPr>
      </w:pPr>
      <w:r w:rsidRPr="00E14071">
        <w:rPr>
          <w:rFonts w:ascii="Arial" w:hAnsi="Arial" w:cs="Arial"/>
          <w:b/>
          <w:bCs/>
          <w:color w:val="4472C4"/>
          <w:sz w:val="28"/>
          <w:szCs w:val="28"/>
          <w:lang w:val="fr-FR"/>
        </w:rPr>
        <w:t>Le nombre d’inspections et/ou enquêtes réalisées par année, par région, depuis 2019-2020</w:t>
      </w:r>
    </w:p>
    <w:p w14:paraId="35D6723B" w14:textId="71A88FD7" w:rsidR="0004091C" w:rsidRDefault="0004091C" w:rsidP="0004091C">
      <w:pPr>
        <w:jc w:val="both"/>
        <w:rPr>
          <w:rFonts w:ascii="Arial" w:eastAsia="Times New Roman" w:hAnsi="Arial" w:cs="Arial"/>
          <w:kern w:val="0"/>
          <w:sz w:val="24"/>
          <w:szCs w:val="24"/>
          <w:lang w:eastAsia="fr-CA"/>
          <w14:ligatures w14:val="none"/>
        </w:rPr>
      </w:pPr>
      <w:r w:rsidRPr="0004091C">
        <w:rPr>
          <w:rFonts w:ascii="Arial" w:eastAsia="Times New Roman" w:hAnsi="Arial" w:cs="Arial"/>
          <w:kern w:val="0"/>
          <w:sz w:val="24"/>
          <w:szCs w:val="24"/>
          <w:lang w:eastAsia="fr-CA"/>
          <w14:ligatures w14:val="none"/>
        </w:rPr>
        <w:t xml:space="preserve">Dans le fichier Excel DAI_24_25_162_Réponse, vous trouverez l'onglet nommé </w:t>
      </w:r>
      <w:proofErr w:type="spellStart"/>
      <w:r w:rsidRPr="0004091C">
        <w:rPr>
          <w:rFonts w:ascii="Arial" w:eastAsia="Times New Roman" w:hAnsi="Arial" w:cs="Arial"/>
          <w:kern w:val="0"/>
          <w:sz w:val="24"/>
          <w:szCs w:val="24"/>
          <w:lang w:eastAsia="fr-CA"/>
          <w14:ligatures w14:val="none"/>
        </w:rPr>
        <w:t>Inspections_Année_Région_Domaine</w:t>
      </w:r>
      <w:proofErr w:type="spellEnd"/>
      <w:r w:rsidRPr="0004091C">
        <w:rPr>
          <w:rFonts w:ascii="Arial" w:eastAsia="Times New Roman" w:hAnsi="Arial" w:cs="Arial"/>
          <w:kern w:val="0"/>
          <w:sz w:val="24"/>
          <w:szCs w:val="24"/>
          <w:lang w:eastAsia="fr-CA"/>
          <w14:ligatures w14:val="none"/>
        </w:rPr>
        <w:t xml:space="preserve"> qui présente l’ensemble des interventions de type visite (visite, enquête, préenquête et saisie) effectuées par nos inspecteurs et enquêteurs depuis l’exercice 2019-2020 jusqu’au 27 juin 2024 sous forme de tableau. Ces interventions sont détaillées en lignes par année financière, puis par région, et en colonnes par domaine.</w:t>
      </w:r>
    </w:p>
    <w:p w14:paraId="1409AA8A" w14:textId="021009B0" w:rsidR="000E786C" w:rsidRDefault="00E73D7B" w:rsidP="0004091C">
      <w:pPr>
        <w:jc w:val="both"/>
        <w:rPr>
          <w:rFonts w:ascii="Arial" w:eastAsia="Times New Roman" w:hAnsi="Arial" w:cs="Arial"/>
          <w:kern w:val="0"/>
          <w:sz w:val="24"/>
          <w:szCs w:val="24"/>
          <w:lang w:eastAsia="fr-CA"/>
          <w14:ligatures w14:val="none"/>
        </w:rPr>
      </w:pPr>
      <w:r w:rsidRPr="00E73D7B">
        <w:rPr>
          <w:rFonts w:ascii="Arial" w:eastAsia="Times New Roman" w:hAnsi="Arial" w:cs="Arial"/>
          <w:kern w:val="0"/>
          <w:sz w:val="24"/>
          <w:szCs w:val="24"/>
          <w:lang w:eastAsia="fr-CA"/>
          <w14:ligatures w14:val="none"/>
        </w:rPr>
        <w:t xml:space="preserve">Dans le même fichier, vous trouverez également l’onglet </w:t>
      </w:r>
      <w:proofErr w:type="spellStart"/>
      <w:r w:rsidRPr="00E73D7B">
        <w:rPr>
          <w:rFonts w:ascii="Arial" w:eastAsia="Times New Roman" w:hAnsi="Arial" w:cs="Arial"/>
          <w:kern w:val="0"/>
          <w:sz w:val="24"/>
          <w:szCs w:val="24"/>
          <w:lang w:eastAsia="fr-CA"/>
          <w14:ligatures w14:val="none"/>
        </w:rPr>
        <w:t>DSP_Maltraitance</w:t>
      </w:r>
      <w:proofErr w:type="spellEnd"/>
      <w:r w:rsidRPr="00E73D7B">
        <w:rPr>
          <w:rFonts w:ascii="Arial" w:eastAsia="Times New Roman" w:hAnsi="Arial" w:cs="Arial"/>
          <w:kern w:val="0"/>
          <w:sz w:val="24"/>
          <w:szCs w:val="24"/>
          <w:lang w:eastAsia="fr-CA"/>
          <w14:ligatures w14:val="none"/>
        </w:rPr>
        <w:t xml:space="preserve"> qui présente le nombre de demandes de sanctions pénales reçues par la direction des enquêtes, des évaluations et des inspections pour traitement et enquête. Il convient de préciser que ce domaine a été pris en charge par la direction au début de l’année 2023, ce qui explique la présentation de trois exercices financiers. Il est également important de rappeler que ce volet est exclusivement pris en charge par les enquêteurs.</w:t>
      </w:r>
      <w:r w:rsidR="000E786C">
        <w:rPr>
          <w:rFonts w:ascii="Arial" w:eastAsia="Times New Roman" w:hAnsi="Arial" w:cs="Arial"/>
          <w:kern w:val="0"/>
          <w:sz w:val="24"/>
          <w:szCs w:val="24"/>
          <w:lang w:eastAsia="fr-CA"/>
          <w14:ligatures w14:val="none"/>
        </w:rPr>
        <w:t xml:space="preserve">  </w:t>
      </w:r>
    </w:p>
    <w:p w14:paraId="44363C19" w14:textId="15BD814B" w:rsidR="0009435C" w:rsidRPr="00E14071" w:rsidRDefault="0009435C" w:rsidP="00E14071">
      <w:pPr>
        <w:pStyle w:val="Paragraphedeliste"/>
        <w:numPr>
          <w:ilvl w:val="0"/>
          <w:numId w:val="5"/>
        </w:numPr>
        <w:tabs>
          <w:tab w:val="num" w:pos="0"/>
        </w:tabs>
        <w:spacing w:before="120" w:after="120" w:line="240" w:lineRule="auto"/>
        <w:jc w:val="both"/>
        <w:rPr>
          <w:rFonts w:ascii="Arial" w:hAnsi="Arial" w:cs="Arial"/>
          <w:b/>
          <w:bCs/>
          <w:color w:val="4472C4"/>
          <w:sz w:val="28"/>
          <w:szCs w:val="28"/>
          <w:lang w:val="fr-FR"/>
        </w:rPr>
      </w:pPr>
      <w:r w:rsidRPr="00E14071">
        <w:rPr>
          <w:rFonts w:ascii="Arial" w:hAnsi="Arial" w:cs="Arial"/>
          <w:b/>
          <w:bCs/>
          <w:color w:val="4472C4"/>
          <w:sz w:val="28"/>
          <w:szCs w:val="28"/>
          <w:lang w:val="fr-FR"/>
        </w:rPr>
        <w:t xml:space="preserve">Le nombre de sanctions données </w:t>
      </w:r>
      <w:proofErr w:type="gramStart"/>
      <w:r w:rsidRPr="00E14071">
        <w:rPr>
          <w:rFonts w:ascii="Arial" w:hAnsi="Arial" w:cs="Arial"/>
          <w:b/>
          <w:bCs/>
          <w:color w:val="4472C4"/>
          <w:sz w:val="28"/>
          <w:szCs w:val="28"/>
          <w:lang w:val="fr-FR"/>
        </w:rPr>
        <w:t>suite à une</w:t>
      </w:r>
      <w:proofErr w:type="gramEnd"/>
      <w:r w:rsidRPr="00E14071">
        <w:rPr>
          <w:rFonts w:ascii="Arial" w:hAnsi="Arial" w:cs="Arial"/>
          <w:b/>
          <w:bCs/>
          <w:color w:val="4472C4"/>
          <w:sz w:val="28"/>
          <w:szCs w:val="28"/>
          <w:lang w:val="fr-FR"/>
        </w:rPr>
        <w:t xml:space="preserve"> inspection et/ou une enquête par année, par région, depuis 2019-2020. </w:t>
      </w:r>
    </w:p>
    <w:p w14:paraId="05C27129" w14:textId="233BC70A" w:rsidR="0009435C" w:rsidRDefault="0009435C" w:rsidP="0004091C">
      <w:pPr>
        <w:jc w:val="both"/>
        <w:rPr>
          <w:rFonts w:ascii="Arial" w:eastAsia="Times New Roman" w:hAnsi="Arial" w:cs="Arial"/>
          <w:kern w:val="0"/>
          <w:sz w:val="24"/>
          <w:szCs w:val="24"/>
          <w:lang w:eastAsia="fr-CA"/>
          <w14:ligatures w14:val="none"/>
        </w:rPr>
      </w:pPr>
      <w:r w:rsidRPr="0009435C">
        <w:rPr>
          <w:rFonts w:ascii="Arial" w:eastAsia="Times New Roman" w:hAnsi="Arial" w:cs="Arial"/>
          <w:kern w:val="0"/>
          <w:sz w:val="24"/>
          <w:szCs w:val="24"/>
          <w:lang w:eastAsia="fr-CA"/>
          <w14:ligatures w14:val="none"/>
        </w:rPr>
        <w:t xml:space="preserve">Dans </w:t>
      </w:r>
      <w:r w:rsidR="00010268">
        <w:rPr>
          <w:rFonts w:ascii="Arial" w:eastAsia="Times New Roman" w:hAnsi="Arial" w:cs="Arial"/>
          <w:kern w:val="0"/>
          <w:sz w:val="24"/>
          <w:szCs w:val="24"/>
          <w:lang w:eastAsia="fr-CA"/>
          <w14:ligatures w14:val="none"/>
        </w:rPr>
        <w:t>le fichier de réponse</w:t>
      </w:r>
      <w:r w:rsidRPr="0009435C">
        <w:rPr>
          <w:rFonts w:ascii="Arial" w:eastAsia="Times New Roman" w:hAnsi="Arial" w:cs="Arial"/>
          <w:kern w:val="0"/>
          <w:sz w:val="24"/>
          <w:szCs w:val="24"/>
          <w:lang w:eastAsia="fr-CA"/>
          <w14:ligatures w14:val="none"/>
        </w:rPr>
        <w:t xml:space="preserve">, vous trouverez l'onglet nommé </w:t>
      </w:r>
      <w:proofErr w:type="spellStart"/>
      <w:r w:rsidRPr="0009435C">
        <w:rPr>
          <w:rFonts w:ascii="Arial" w:eastAsia="Times New Roman" w:hAnsi="Arial" w:cs="Arial"/>
          <w:kern w:val="0"/>
          <w:sz w:val="24"/>
          <w:szCs w:val="24"/>
          <w:lang w:eastAsia="fr-CA"/>
          <w14:ligatures w14:val="none"/>
        </w:rPr>
        <w:t>ConstInfra_Année_Région_Domaine</w:t>
      </w:r>
      <w:proofErr w:type="spellEnd"/>
      <w:r w:rsidRPr="0009435C">
        <w:rPr>
          <w:rFonts w:ascii="Arial" w:eastAsia="Times New Roman" w:hAnsi="Arial" w:cs="Arial"/>
          <w:kern w:val="0"/>
          <w:sz w:val="24"/>
          <w:szCs w:val="24"/>
          <w:lang w:eastAsia="fr-CA"/>
          <w14:ligatures w14:val="none"/>
        </w:rPr>
        <w:t xml:space="preserve"> qui présente l’ensemble des constats d'infraction et des rapports d'infraction générale émis par nos inspecteurs et enquêteurs depuis l’exercice 2019-2020 jusqu’au 27 juin 2024 sous forme de tableau. Ces sanctions sont également détaillées en lignes par année financière, puis par région, et en colonnes par domaine.</w:t>
      </w:r>
    </w:p>
    <w:p w14:paraId="15E6F427" w14:textId="6AA3120E" w:rsidR="0009435C" w:rsidRDefault="0009435C" w:rsidP="0009435C">
      <w:pPr>
        <w:jc w:val="both"/>
        <w:rPr>
          <w:rFonts w:ascii="Arial" w:eastAsia="Times New Roman" w:hAnsi="Arial" w:cs="Arial"/>
          <w:kern w:val="0"/>
          <w:sz w:val="24"/>
          <w:szCs w:val="24"/>
          <w:lang w:eastAsia="fr-CA"/>
          <w14:ligatures w14:val="none"/>
        </w:rPr>
      </w:pPr>
      <w:r>
        <w:rPr>
          <w:rFonts w:ascii="Arial" w:eastAsia="Times New Roman" w:hAnsi="Arial" w:cs="Arial"/>
          <w:kern w:val="0"/>
          <w:sz w:val="24"/>
          <w:szCs w:val="24"/>
          <w:lang w:eastAsia="fr-CA"/>
          <w14:ligatures w14:val="none"/>
        </w:rPr>
        <w:t>Aussi,</w:t>
      </w:r>
      <w:r w:rsidRPr="0009435C">
        <w:rPr>
          <w:rFonts w:ascii="Arial" w:eastAsia="Times New Roman" w:hAnsi="Arial" w:cs="Arial"/>
          <w:kern w:val="0"/>
          <w:sz w:val="24"/>
          <w:szCs w:val="24"/>
          <w:lang w:eastAsia="fr-CA"/>
          <w14:ligatures w14:val="none"/>
        </w:rPr>
        <w:t xml:space="preserve"> vous trouverez l'onglet nommé </w:t>
      </w:r>
      <w:r w:rsidR="00E14071" w:rsidRPr="00E14071">
        <w:rPr>
          <w:rFonts w:ascii="Arial" w:eastAsia="Times New Roman" w:hAnsi="Arial" w:cs="Arial"/>
          <w:kern w:val="0"/>
          <w:sz w:val="24"/>
          <w:szCs w:val="24"/>
          <w:lang w:eastAsia="fr-CA"/>
          <w14:ligatures w14:val="none"/>
        </w:rPr>
        <w:t>ANR__</w:t>
      </w:r>
      <w:proofErr w:type="spellStart"/>
      <w:r w:rsidR="00E14071" w:rsidRPr="00E14071">
        <w:rPr>
          <w:rFonts w:ascii="Arial" w:eastAsia="Times New Roman" w:hAnsi="Arial" w:cs="Arial"/>
          <w:kern w:val="0"/>
          <w:sz w:val="24"/>
          <w:szCs w:val="24"/>
          <w:lang w:eastAsia="fr-CA"/>
          <w14:ligatures w14:val="none"/>
        </w:rPr>
        <w:t>Année_Region_domaine</w:t>
      </w:r>
      <w:proofErr w:type="spellEnd"/>
      <w:r w:rsidR="00E14071">
        <w:rPr>
          <w:rFonts w:ascii="Arial" w:eastAsia="Times New Roman" w:hAnsi="Arial" w:cs="Arial"/>
          <w:kern w:val="0"/>
          <w:sz w:val="24"/>
          <w:szCs w:val="24"/>
          <w:lang w:eastAsia="fr-CA"/>
          <w14:ligatures w14:val="none"/>
        </w:rPr>
        <w:t xml:space="preserve"> </w:t>
      </w:r>
      <w:r w:rsidRPr="0009435C">
        <w:rPr>
          <w:rFonts w:ascii="Arial" w:eastAsia="Times New Roman" w:hAnsi="Arial" w:cs="Arial"/>
          <w:kern w:val="0"/>
          <w:sz w:val="24"/>
          <w:szCs w:val="24"/>
          <w:lang w:eastAsia="fr-CA"/>
          <w14:ligatures w14:val="none"/>
        </w:rPr>
        <w:t xml:space="preserve">qui présente l’ensemble </w:t>
      </w:r>
      <w:r w:rsidR="00643913">
        <w:rPr>
          <w:rFonts w:ascii="Arial" w:eastAsia="Times New Roman" w:hAnsi="Arial" w:cs="Arial"/>
          <w:kern w:val="0"/>
          <w:sz w:val="24"/>
          <w:szCs w:val="24"/>
          <w:lang w:eastAsia="fr-CA"/>
          <w14:ligatures w14:val="none"/>
        </w:rPr>
        <w:t>d’</w:t>
      </w:r>
      <w:r w:rsidR="00E14071">
        <w:rPr>
          <w:rFonts w:ascii="Arial" w:eastAsia="Times New Roman" w:hAnsi="Arial" w:cs="Arial"/>
          <w:kern w:val="0"/>
          <w:sz w:val="24"/>
          <w:szCs w:val="24"/>
          <w:lang w:eastAsia="fr-CA"/>
          <w14:ligatures w14:val="none"/>
        </w:rPr>
        <w:t>avis de non-respect</w:t>
      </w:r>
      <w:r w:rsidRPr="0009435C">
        <w:rPr>
          <w:rFonts w:ascii="Arial" w:eastAsia="Times New Roman" w:hAnsi="Arial" w:cs="Arial"/>
          <w:kern w:val="0"/>
          <w:sz w:val="24"/>
          <w:szCs w:val="24"/>
          <w:lang w:eastAsia="fr-CA"/>
          <w14:ligatures w14:val="none"/>
        </w:rPr>
        <w:t xml:space="preserve"> émis par nos inspecteurs et enquêteurs depuis l’exercice 2019-2020 jusqu’au 27 juin 2024 sous forme de tableau. Ces </w:t>
      </w:r>
      <w:r w:rsidR="00E14071">
        <w:rPr>
          <w:rFonts w:ascii="Arial" w:eastAsia="Times New Roman" w:hAnsi="Arial" w:cs="Arial"/>
          <w:kern w:val="0"/>
          <w:sz w:val="24"/>
          <w:szCs w:val="24"/>
          <w:lang w:eastAsia="fr-CA"/>
          <w14:ligatures w14:val="none"/>
        </w:rPr>
        <w:t>avis de non-respect</w:t>
      </w:r>
      <w:r w:rsidRPr="0009435C">
        <w:rPr>
          <w:rFonts w:ascii="Arial" w:eastAsia="Times New Roman" w:hAnsi="Arial" w:cs="Arial"/>
          <w:kern w:val="0"/>
          <w:sz w:val="24"/>
          <w:szCs w:val="24"/>
          <w:lang w:eastAsia="fr-CA"/>
          <w14:ligatures w14:val="none"/>
        </w:rPr>
        <w:t xml:space="preserve"> sont également </w:t>
      </w:r>
      <w:r w:rsidR="00E14071" w:rsidRPr="0009435C">
        <w:rPr>
          <w:rFonts w:ascii="Arial" w:eastAsia="Times New Roman" w:hAnsi="Arial" w:cs="Arial"/>
          <w:kern w:val="0"/>
          <w:sz w:val="24"/>
          <w:szCs w:val="24"/>
          <w:lang w:eastAsia="fr-CA"/>
          <w14:ligatures w14:val="none"/>
        </w:rPr>
        <w:t>détaillés</w:t>
      </w:r>
      <w:r w:rsidRPr="0009435C">
        <w:rPr>
          <w:rFonts w:ascii="Arial" w:eastAsia="Times New Roman" w:hAnsi="Arial" w:cs="Arial"/>
          <w:kern w:val="0"/>
          <w:sz w:val="24"/>
          <w:szCs w:val="24"/>
          <w:lang w:eastAsia="fr-CA"/>
          <w14:ligatures w14:val="none"/>
        </w:rPr>
        <w:t xml:space="preserve"> en lignes par année financière, puis par région, et en colonnes par domaine.</w:t>
      </w:r>
    </w:p>
    <w:p w14:paraId="6E8D2ED7" w14:textId="77777777" w:rsidR="000E786C" w:rsidRDefault="000E786C" w:rsidP="0009435C">
      <w:pPr>
        <w:jc w:val="both"/>
        <w:rPr>
          <w:rFonts w:ascii="Arial" w:eastAsia="Times New Roman" w:hAnsi="Arial" w:cs="Arial"/>
          <w:kern w:val="0"/>
          <w:sz w:val="24"/>
          <w:szCs w:val="24"/>
          <w:lang w:eastAsia="fr-CA"/>
          <w14:ligatures w14:val="none"/>
        </w:rPr>
      </w:pPr>
    </w:p>
    <w:p w14:paraId="57A10032" w14:textId="5831479F" w:rsidR="0009435C" w:rsidRPr="0004091C" w:rsidRDefault="0009435C" w:rsidP="0004091C">
      <w:pPr>
        <w:jc w:val="both"/>
        <w:rPr>
          <w:rFonts w:ascii="Arial" w:eastAsia="Times New Roman" w:hAnsi="Arial" w:cs="Arial"/>
          <w:kern w:val="0"/>
          <w:sz w:val="24"/>
          <w:szCs w:val="24"/>
          <w:lang w:eastAsia="fr-CA"/>
          <w14:ligatures w14:val="none"/>
        </w:rPr>
      </w:pPr>
    </w:p>
    <w:sectPr w:rsidR="0009435C" w:rsidRPr="0004091C">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B04747" w14:textId="77777777" w:rsidR="00643913" w:rsidRDefault="00643913" w:rsidP="00643913">
      <w:pPr>
        <w:spacing w:after="0" w:line="240" w:lineRule="auto"/>
      </w:pPr>
      <w:r>
        <w:separator/>
      </w:r>
    </w:p>
  </w:endnote>
  <w:endnote w:type="continuationSeparator" w:id="0">
    <w:p w14:paraId="6FFE41E8" w14:textId="77777777" w:rsidR="00643913" w:rsidRDefault="00643913" w:rsidP="006439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Gra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FC590" w14:textId="77777777" w:rsidR="00643913" w:rsidRDefault="0064391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4CA41" w14:textId="77777777" w:rsidR="00643913" w:rsidRDefault="00643913">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A0A3D" w14:textId="77777777" w:rsidR="00643913" w:rsidRDefault="0064391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6C81D" w14:textId="77777777" w:rsidR="00643913" w:rsidRDefault="00643913" w:rsidP="00643913">
      <w:pPr>
        <w:spacing w:after="0" w:line="240" w:lineRule="auto"/>
      </w:pPr>
      <w:r>
        <w:separator/>
      </w:r>
    </w:p>
  </w:footnote>
  <w:footnote w:type="continuationSeparator" w:id="0">
    <w:p w14:paraId="4BEFA4BF" w14:textId="77777777" w:rsidR="00643913" w:rsidRDefault="00643913" w:rsidP="006439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10420" w14:textId="77777777" w:rsidR="00643913" w:rsidRDefault="0064391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B1A3A" w14:textId="77777777" w:rsidR="00643913" w:rsidRDefault="0064391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5F36B" w14:textId="77777777" w:rsidR="00643913" w:rsidRDefault="0064391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D3B60"/>
    <w:multiLevelType w:val="hybridMultilevel"/>
    <w:tmpl w:val="810E6716"/>
    <w:lvl w:ilvl="0" w:tplc="380A5C3A">
      <w:start w:val="1"/>
      <w:numFmt w:val="upperRoman"/>
      <w:lvlText w:val="%1."/>
      <w:lvlJc w:val="right"/>
      <w:pPr>
        <w:ind w:left="502" w:hanging="360"/>
      </w:pPr>
      <w:rPr>
        <w:b/>
        <w:bCs/>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277B6682"/>
    <w:multiLevelType w:val="multilevel"/>
    <w:tmpl w:val="9E28CE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E496593"/>
    <w:multiLevelType w:val="multilevel"/>
    <w:tmpl w:val="2F8EDC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9B45359"/>
    <w:multiLevelType w:val="multilevel"/>
    <w:tmpl w:val="9C1A3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CF63F1B"/>
    <w:multiLevelType w:val="hybridMultilevel"/>
    <w:tmpl w:val="85C08BBA"/>
    <w:lvl w:ilvl="0" w:tplc="0C0C000B">
      <w:start w:val="1"/>
      <w:numFmt w:val="bullet"/>
      <w:lvlText w:val=""/>
      <w:lvlJc w:val="left"/>
      <w:pPr>
        <w:ind w:left="792" w:hanging="360"/>
      </w:pPr>
      <w:rPr>
        <w:rFonts w:ascii="Wingdings" w:hAnsi="Wingdings" w:hint="default"/>
      </w:rPr>
    </w:lvl>
    <w:lvl w:ilvl="1" w:tplc="0C0C0003" w:tentative="1">
      <w:start w:val="1"/>
      <w:numFmt w:val="bullet"/>
      <w:lvlText w:val="o"/>
      <w:lvlJc w:val="left"/>
      <w:pPr>
        <w:ind w:left="1512" w:hanging="360"/>
      </w:pPr>
      <w:rPr>
        <w:rFonts w:ascii="Courier New" w:hAnsi="Courier New" w:cs="Courier New" w:hint="default"/>
      </w:rPr>
    </w:lvl>
    <w:lvl w:ilvl="2" w:tplc="0C0C0005" w:tentative="1">
      <w:start w:val="1"/>
      <w:numFmt w:val="bullet"/>
      <w:lvlText w:val=""/>
      <w:lvlJc w:val="left"/>
      <w:pPr>
        <w:ind w:left="2232" w:hanging="360"/>
      </w:pPr>
      <w:rPr>
        <w:rFonts w:ascii="Wingdings" w:hAnsi="Wingdings" w:hint="default"/>
      </w:rPr>
    </w:lvl>
    <w:lvl w:ilvl="3" w:tplc="0C0C0001" w:tentative="1">
      <w:start w:val="1"/>
      <w:numFmt w:val="bullet"/>
      <w:lvlText w:val=""/>
      <w:lvlJc w:val="left"/>
      <w:pPr>
        <w:ind w:left="2952" w:hanging="360"/>
      </w:pPr>
      <w:rPr>
        <w:rFonts w:ascii="Symbol" w:hAnsi="Symbol" w:hint="default"/>
      </w:rPr>
    </w:lvl>
    <w:lvl w:ilvl="4" w:tplc="0C0C0003" w:tentative="1">
      <w:start w:val="1"/>
      <w:numFmt w:val="bullet"/>
      <w:lvlText w:val="o"/>
      <w:lvlJc w:val="left"/>
      <w:pPr>
        <w:ind w:left="3672" w:hanging="360"/>
      </w:pPr>
      <w:rPr>
        <w:rFonts w:ascii="Courier New" w:hAnsi="Courier New" w:cs="Courier New" w:hint="default"/>
      </w:rPr>
    </w:lvl>
    <w:lvl w:ilvl="5" w:tplc="0C0C0005" w:tentative="1">
      <w:start w:val="1"/>
      <w:numFmt w:val="bullet"/>
      <w:lvlText w:val=""/>
      <w:lvlJc w:val="left"/>
      <w:pPr>
        <w:ind w:left="4392" w:hanging="360"/>
      </w:pPr>
      <w:rPr>
        <w:rFonts w:ascii="Wingdings" w:hAnsi="Wingdings" w:hint="default"/>
      </w:rPr>
    </w:lvl>
    <w:lvl w:ilvl="6" w:tplc="0C0C0001" w:tentative="1">
      <w:start w:val="1"/>
      <w:numFmt w:val="bullet"/>
      <w:lvlText w:val=""/>
      <w:lvlJc w:val="left"/>
      <w:pPr>
        <w:ind w:left="5112" w:hanging="360"/>
      </w:pPr>
      <w:rPr>
        <w:rFonts w:ascii="Symbol" w:hAnsi="Symbol" w:hint="default"/>
      </w:rPr>
    </w:lvl>
    <w:lvl w:ilvl="7" w:tplc="0C0C0003" w:tentative="1">
      <w:start w:val="1"/>
      <w:numFmt w:val="bullet"/>
      <w:lvlText w:val="o"/>
      <w:lvlJc w:val="left"/>
      <w:pPr>
        <w:ind w:left="5832" w:hanging="360"/>
      </w:pPr>
      <w:rPr>
        <w:rFonts w:ascii="Courier New" w:hAnsi="Courier New" w:cs="Courier New" w:hint="default"/>
      </w:rPr>
    </w:lvl>
    <w:lvl w:ilvl="8" w:tplc="0C0C0005" w:tentative="1">
      <w:start w:val="1"/>
      <w:numFmt w:val="bullet"/>
      <w:lvlText w:val=""/>
      <w:lvlJc w:val="left"/>
      <w:pPr>
        <w:ind w:left="6552" w:hanging="360"/>
      </w:pPr>
      <w:rPr>
        <w:rFonts w:ascii="Wingdings" w:hAnsi="Wingdings" w:hint="default"/>
      </w:rPr>
    </w:lvl>
  </w:abstractNum>
  <w:num w:numId="1" w16cid:durableId="852063646">
    <w:abstractNumId w:val="2"/>
    <w:lvlOverride w:ilvl="0">
      <w:startOverride w:val="1"/>
    </w:lvlOverride>
  </w:num>
  <w:num w:numId="2" w16cid:durableId="1330056965">
    <w:abstractNumId w:val="3"/>
  </w:num>
  <w:num w:numId="3" w16cid:durableId="978808403">
    <w:abstractNumId w:val="1"/>
    <w:lvlOverride w:ilvl="0">
      <w:startOverride w:val="2"/>
    </w:lvlOverride>
  </w:num>
  <w:num w:numId="4" w16cid:durableId="78529620">
    <w:abstractNumId w:val="4"/>
  </w:num>
  <w:num w:numId="5" w16cid:durableId="8699945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367"/>
    <w:rsid w:val="00010268"/>
    <w:rsid w:val="0004091C"/>
    <w:rsid w:val="0009435C"/>
    <w:rsid w:val="000E786C"/>
    <w:rsid w:val="00232299"/>
    <w:rsid w:val="003459BE"/>
    <w:rsid w:val="00483C2C"/>
    <w:rsid w:val="004B483E"/>
    <w:rsid w:val="005743F2"/>
    <w:rsid w:val="00643913"/>
    <w:rsid w:val="006D2550"/>
    <w:rsid w:val="007241A8"/>
    <w:rsid w:val="008A72CA"/>
    <w:rsid w:val="009D0C41"/>
    <w:rsid w:val="00A3721A"/>
    <w:rsid w:val="00B62575"/>
    <w:rsid w:val="00BF0150"/>
    <w:rsid w:val="00C13764"/>
    <w:rsid w:val="00C16ACB"/>
    <w:rsid w:val="00CE7830"/>
    <w:rsid w:val="00D93367"/>
    <w:rsid w:val="00E14071"/>
    <w:rsid w:val="00E73D7B"/>
    <w:rsid w:val="00F037FF"/>
    <w:rsid w:val="00F26B49"/>
    <w:rsid w:val="00F57B1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69868"/>
  <w15:chartTrackingRefBased/>
  <w15:docId w15:val="{40A12BB9-B29D-41DF-82B3-B1C161EBF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9D0C41"/>
    <w:rPr>
      <w:b/>
      <w:bCs/>
    </w:rPr>
  </w:style>
  <w:style w:type="paragraph" w:styleId="Paragraphedeliste">
    <w:name w:val="List Paragraph"/>
    <w:basedOn w:val="Normal"/>
    <w:uiPriority w:val="34"/>
    <w:qFormat/>
    <w:rsid w:val="009D0C41"/>
    <w:pPr>
      <w:ind w:left="720"/>
      <w:contextualSpacing/>
    </w:pPr>
  </w:style>
  <w:style w:type="paragraph" w:styleId="En-tte">
    <w:name w:val="header"/>
    <w:basedOn w:val="Normal"/>
    <w:link w:val="En-tteCar"/>
    <w:uiPriority w:val="99"/>
    <w:unhideWhenUsed/>
    <w:rsid w:val="00643913"/>
    <w:pPr>
      <w:tabs>
        <w:tab w:val="center" w:pos="4320"/>
        <w:tab w:val="right" w:pos="8640"/>
      </w:tabs>
      <w:spacing w:after="0" w:line="240" w:lineRule="auto"/>
    </w:pPr>
  </w:style>
  <w:style w:type="character" w:customStyle="1" w:styleId="En-tteCar">
    <w:name w:val="En-tête Car"/>
    <w:basedOn w:val="Policepardfaut"/>
    <w:link w:val="En-tte"/>
    <w:uiPriority w:val="99"/>
    <w:rsid w:val="00643913"/>
  </w:style>
  <w:style w:type="paragraph" w:styleId="Pieddepage">
    <w:name w:val="footer"/>
    <w:basedOn w:val="Normal"/>
    <w:link w:val="PieddepageCar"/>
    <w:uiPriority w:val="99"/>
    <w:unhideWhenUsed/>
    <w:rsid w:val="00643913"/>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6439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243071">
      <w:bodyDiv w:val="1"/>
      <w:marLeft w:val="0"/>
      <w:marRight w:val="0"/>
      <w:marTop w:val="0"/>
      <w:marBottom w:val="0"/>
      <w:divBdr>
        <w:top w:val="none" w:sz="0" w:space="0" w:color="auto"/>
        <w:left w:val="none" w:sz="0" w:space="0" w:color="auto"/>
        <w:bottom w:val="none" w:sz="0" w:space="0" w:color="auto"/>
        <w:right w:val="none" w:sz="0" w:space="0" w:color="auto"/>
      </w:divBdr>
    </w:div>
    <w:div w:id="857894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1375</TotalTime>
  <Pages>3</Pages>
  <Words>726</Words>
  <Characters>3999</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Abdellatif Boumediane</dc:creator>
  <cp:keywords/>
  <dc:description/>
  <cp:lastModifiedBy>Annie Larivière</cp:lastModifiedBy>
  <cp:revision>15</cp:revision>
  <dcterms:created xsi:type="dcterms:W3CDTF">2024-06-27T12:54:00Z</dcterms:created>
  <dcterms:modified xsi:type="dcterms:W3CDTF">2024-09-04T17:41:00Z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a7d8d5d-78e2-4a62-9fcd-016eb5e4c57c_Enabled">
    <vt:lpwstr>true</vt:lpwstr>
  </property>
  <property fmtid="{D5CDD505-2E9C-101B-9397-08002B2CF9AE}" pid="3" name="MSIP_Label_6a7d8d5d-78e2-4a62-9fcd-016eb5e4c57c_SetDate">
    <vt:lpwstr>2024-06-28T12:57:41Z</vt:lpwstr>
  </property>
  <property fmtid="{D5CDD505-2E9C-101B-9397-08002B2CF9AE}" pid="4" name="MSIP_Label_6a7d8d5d-78e2-4a62-9fcd-016eb5e4c57c_Method">
    <vt:lpwstr>Standard</vt:lpwstr>
  </property>
  <property fmtid="{D5CDD505-2E9C-101B-9397-08002B2CF9AE}" pid="5" name="MSIP_Label_6a7d8d5d-78e2-4a62-9fcd-016eb5e4c57c_Name">
    <vt:lpwstr>Général</vt:lpwstr>
  </property>
  <property fmtid="{D5CDD505-2E9C-101B-9397-08002B2CF9AE}" pid="6" name="MSIP_Label_6a7d8d5d-78e2-4a62-9fcd-016eb5e4c57c_SiteId">
    <vt:lpwstr>06e1fe28-5f8b-4075-bf6c-ae24be1a7992</vt:lpwstr>
  </property>
  <property fmtid="{D5CDD505-2E9C-101B-9397-08002B2CF9AE}" pid="7" name="MSIP_Label_6a7d8d5d-78e2-4a62-9fcd-016eb5e4c57c_ActionId">
    <vt:lpwstr>baec0236-4ed7-4d36-8ebd-8af7cce79e67</vt:lpwstr>
  </property>
  <property fmtid="{D5CDD505-2E9C-101B-9397-08002B2CF9AE}" pid="8" name="MSIP_Label_6a7d8d5d-78e2-4a62-9fcd-016eb5e4c57c_ContentBits">
    <vt:lpwstr>0</vt:lpwstr>
  </property>
</Properties>
</file>